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2131"/>
        <w:tblW w:w="9540" w:type="dxa"/>
        <w:tblLayout w:type="fixed"/>
        <w:tblLook w:val="04A0" w:firstRow="1" w:lastRow="0" w:firstColumn="1" w:lastColumn="0" w:noHBand="0" w:noVBand="1"/>
        <w:tblCaption w:val="Table"/>
        <w:tblDescription w:val="Table with checklist for a healthy lifestyle plan for each day of the week"/>
      </w:tblPr>
      <w:tblGrid>
        <w:gridCol w:w="5580"/>
        <w:gridCol w:w="1440"/>
        <w:gridCol w:w="2520"/>
      </w:tblGrid>
      <w:tr w:rsidR="00804529" w:rsidRPr="00A31DBB" w14:paraId="05AD2E90" w14:textId="77777777" w:rsidTr="00B32A9C">
        <w:trPr>
          <w:trHeight w:val="71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73591556" w:rsidR="00804529" w:rsidRPr="00A31DBB" w:rsidRDefault="00774AD3" w:rsidP="00A31DBB">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February</w:t>
            </w:r>
            <w:r w:rsidR="00804529" w:rsidRPr="00A31DBB">
              <w:rPr>
                <w:rFonts w:asciiTheme="majorHAnsi" w:hAnsiTheme="majorHAnsi"/>
                <w:b/>
                <w:bCs/>
                <w:i w:val="0"/>
                <w:iCs w:val="0"/>
              </w:rPr>
              <w:t xml:space="preserve"> 202</w:t>
            </w:r>
            <w:r w:rsidR="006A6575" w:rsidRPr="00A31DBB">
              <w:rPr>
                <w:rFonts w:asciiTheme="majorHAnsi" w:hAnsiTheme="majorHAnsi"/>
                <w:b/>
                <w:bCs/>
                <w:i w:val="0"/>
                <w:iCs w:val="0"/>
              </w:rPr>
              <w:t>2</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A31DBB">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520"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A31DBB">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A31DBB">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B32A9C">
        <w:trPr>
          <w:trHeight w:val="262"/>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2C104B">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2A7D0CA7" w:rsidR="002C104B" w:rsidRPr="00B5481B" w:rsidRDefault="002C104B" w:rsidP="00EE6CD6">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 xml:space="preserve">Download Blotter from Custodian and review for any irregular trading patterns, trade errors, trade discrepancies or large amounts of trading in one account. </w:t>
            </w:r>
            <w:r w:rsidR="0026738D" w:rsidRPr="00B5481B">
              <w:rPr>
                <w:rFonts w:ascii="Century Gothic" w:hAnsi="Century Gothic"/>
                <w:i w:val="0"/>
                <w:iCs w:val="0"/>
              </w:rPr>
              <w:t xml:space="preserve"> (Or</w:t>
            </w:r>
            <w:r w:rsidRPr="00B5481B">
              <w:rPr>
                <w:rFonts w:ascii="Century Gothic" w:hAnsi="Century Gothic"/>
                <w:i w:val="0"/>
                <w:iCs w:val="0"/>
              </w:rPr>
              <w:t xml:space="preserve"> </w:t>
            </w:r>
            <w:r w:rsidRPr="00B5481B">
              <w:rPr>
                <w:rFonts w:ascii="Century Gothic" w:hAnsi="Century Gothic"/>
              </w:rPr>
              <w:t>Monthly</w:t>
            </w:r>
            <w:r w:rsidR="0026738D" w:rsidRPr="00B5481B">
              <w:rPr>
                <w:rFonts w:ascii="Century Gothic" w:hAnsi="Century Gothic"/>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2E95890" w14:textId="6E986C76"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6885EDC4" w:rsidR="002C104B" w:rsidRPr="00B5481B" w:rsidRDefault="002C104B" w:rsidP="002C104B">
            <w:pPr>
              <w:spacing w:before="80" w:after="80" w:line="240" w:lineRule="auto"/>
              <w:ind w:right="158"/>
              <w:rPr>
                <w:rFonts w:ascii="Century Gothic" w:hAnsi="Century Gothic"/>
                <w:i w:val="0"/>
                <w:iCs w:val="0"/>
              </w:rPr>
            </w:pPr>
          </w:p>
        </w:tc>
      </w:tr>
      <w:tr w:rsidR="002C104B" w:rsidRPr="004642DA" w14:paraId="027BE3ED" w14:textId="77777777" w:rsidTr="0026738D">
        <w:trPr>
          <w:trHeight w:val="138"/>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35FCBDA1" w:rsidR="002C104B" w:rsidRPr="000C78A0" w:rsidRDefault="002C104B" w:rsidP="00EE6CD6">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 correspondence, including email. </w:t>
            </w:r>
            <w:r w:rsidR="0026738D" w:rsidRPr="00B5481B">
              <w:rPr>
                <w:rFonts w:ascii="Century Gothic" w:hAnsi="Century Gothic"/>
              </w:rPr>
              <w:t>(Or</w:t>
            </w:r>
            <w:r w:rsidRPr="00B5481B">
              <w:rPr>
                <w:rFonts w:ascii="Century Gothic" w:hAnsi="Century Gothic"/>
              </w:rPr>
              <w:t xml:space="preserve"> Monthly</w:t>
            </w:r>
            <w:r w:rsidR="0026738D" w:rsidRPr="00B5481B">
              <w:rPr>
                <w:rFonts w:ascii="Century Gothic" w:hAnsi="Century Gothic"/>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5A29F2C9" w:rsidR="002C104B" w:rsidRPr="00BE0EFA"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2C104B">
            <w:pPr>
              <w:spacing w:before="80" w:after="80" w:line="240" w:lineRule="auto"/>
              <w:ind w:right="158"/>
              <w:rPr>
                <w:rFonts w:ascii="Century Gothic" w:hAnsi="Century Gothic"/>
                <w:i w:val="0"/>
                <w:iCs w:val="0"/>
              </w:rPr>
            </w:pPr>
          </w:p>
        </w:tc>
      </w:tr>
      <w:tr w:rsidR="00107A2A" w:rsidRPr="004642DA" w14:paraId="33F22D5E" w14:textId="77777777" w:rsidTr="00B32A9C">
        <w:trPr>
          <w:trHeight w:val="307"/>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AC6FDD">
            <w:pPr>
              <w:spacing w:before="80" w:after="8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41A21FFD" w:rsidR="002C104B" w:rsidRPr="002A7C10" w:rsidRDefault="002C104B" w:rsidP="00EE6CD6">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77777777" w:rsidR="002C104B" w:rsidRPr="00BE0EFA"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2C104B">
            <w:pPr>
              <w:spacing w:before="80" w:after="80" w:line="240" w:lineRule="auto"/>
              <w:ind w:right="158"/>
              <w:rPr>
                <w:rFonts w:ascii="Century Gothic" w:hAnsi="Century Gothic"/>
                <w:i w:val="0"/>
                <w:iCs w:val="0"/>
              </w:rPr>
            </w:pPr>
          </w:p>
        </w:tc>
      </w:tr>
      <w:tr w:rsidR="002C104B" w:rsidRPr="004642DA" w14:paraId="736E57DB" w14:textId="77777777" w:rsidTr="00B32A9C">
        <w:trPr>
          <w:trHeight w:val="372"/>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2C104B">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5310E2" w:rsidRPr="00B5481B" w14:paraId="08240931" w14:textId="77777777" w:rsidTr="007D6712">
        <w:trPr>
          <w:trHeight w:val="831"/>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tcPr>
          <w:p w14:paraId="24AB0107" w14:textId="454E3FAB" w:rsidR="00C3494E" w:rsidRDefault="00622991" w:rsidP="00EE6CD6">
            <w:pPr>
              <w:spacing w:before="120" w:after="120" w:line="240" w:lineRule="auto"/>
              <w:ind w:right="72"/>
              <w:jc w:val="both"/>
              <w:rPr>
                <w:rFonts w:ascii="Century Gothic" w:eastAsia="Calibri" w:hAnsi="Century Gothic" w:cs="Calibri"/>
                <w:b/>
                <w:bCs/>
                <w:lang w:val="en-US"/>
              </w:rPr>
            </w:pPr>
            <w:r>
              <w:rPr>
                <w:rFonts w:ascii="Century Gothic" w:eastAsia="Calibri" w:hAnsi="Century Gothic" w:cs="Calibri"/>
                <w:b/>
                <w:bCs/>
                <w:highlight w:val="yellow"/>
                <w:lang w:val="en-US"/>
              </w:rPr>
              <w:t>Third</w:t>
            </w:r>
            <w:r w:rsidR="005310E2" w:rsidRPr="00C3494E">
              <w:rPr>
                <w:rFonts w:ascii="Century Gothic" w:eastAsia="Calibri" w:hAnsi="Century Gothic" w:cs="Calibri"/>
                <w:b/>
                <w:bCs/>
                <w:highlight w:val="yellow"/>
                <w:lang w:val="en-US"/>
              </w:rPr>
              <w:t xml:space="preserve"> reminder if not yet completed</w:t>
            </w:r>
            <w:r w:rsidR="00C3494E" w:rsidRPr="00C3494E">
              <w:rPr>
                <w:rFonts w:ascii="Century Gothic" w:eastAsia="Calibri" w:hAnsi="Century Gothic" w:cs="Calibri"/>
                <w:b/>
                <w:bCs/>
                <w:highlight w:val="yellow"/>
                <w:lang w:val="en-US"/>
              </w:rPr>
              <w:t>.</w:t>
            </w:r>
            <w:r w:rsidR="00EE6CD6">
              <w:rPr>
                <w:rFonts w:ascii="Century Gothic" w:eastAsia="Calibri" w:hAnsi="Century Gothic" w:cs="Calibri"/>
                <w:b/>
                <w:bCs/>
                <w:lang w:val="en-US"/>
              </w:rPr>
              <w:t xml:space="preserve"> </w:t>
            </w:r>
          </w:p>
          <w:p w14:paraId="7C773696" w14:textId="41FD1211" w:rsidR="00C3494E" w:rsidRDefault="005310E2" w:rsidP="00EE6CD6">
            <w:pPr>
              <w:spacing w:before="120" w:after="120" w:line="240" w:lineRule="auto"/>
              <w:ind w:right="72"/>
              <w:jc w:val="both"/>
              <w:rPr>
                <w:rFonts w:ascii="Century Gothic" w:hAnsi="Century Gothic"/>
                <w:i w:val="0"/>
                <w:iCs w:val="0"/>
              </w:rPr>
            </w:pPr>
            <w:r w:rsidRPr="003E5381">
              <w:rPr>
                <w:rFonts w:ascii="Century Gothic" w:eastAsia="Calibri" w:hAnsi="Century Gothic" w:cs="Calibri"/>
                <w:b/>
                <w:bCs/>
                <w:i w:val="0"/>
                <w:iCs w:val="0"/>
                <w:lang w:val="en-US"/>
              </w:rPr>
              <w:t>Review “Rollovers” into the Firm in compliance with PTE 2020-02</w:t>
            </w:r>
            <w:r w:rsidR="00EE6CD6">
              <w:rPr>
                <w:rFonts w:ascii="Century Gothic" w:eastAsia="Calibri" w:hAnsi="Century Gothic" w:cs="Calibri"/>
                <w:b/>
                <w:bCs/>
                <w:i w:val="0"/>
                <w:iCs w:val="0"/>
                <w:lang w:val="en-US"/>
              </w:rPr>
              <w:t xml:space="preserve">: </w:t>
            </w:r>
            <w:r w:rsidRPr="003E5381">
              <w:rPr>
                <w:rFonts w:ascii="Century Gothic" w:hAnsi="Century Gothic"/>
                <w:i w:val="0"/>
                <w:iCs w:val="0"/>
              </w:rPr>
              <w:t>Maintain and update a list of clients/accounts sourced from IRA rollovers and/or transfers.  Review each client to ensure a Rollover Analysis form is complete, best interest rationale is documented, Client Acknowledgement and evidence of review and supervision is on file.  Quarterly and/or monthly depending on number of rollovers</w:t>
            </w:r>
            <w:r w:rsidR="00EE6CD6">
              <w:rPr>
                <w:rFonts w:ascii="Century Gothic" w:hAnsi="Century Gothic"/>
                <w:i w:val="0"/>
                <w:iCs w:val="0"/>
              </w:rPr>
              <w:t>.</w:t>
            </w:r>
            <w:r w:rsidR="00FF296D">
              <w:rPr>
                <w:rFonts w:ascii="Century Gothic" w:hAnsi="Century Gothic"/>
                <w:i w:val="0"/>
                <w:iCs w:val="0"/>
              </w:rPr>
              <w:t xml:space="preserve"> </w:t>
            </w:r>
          </w:p>
          <w:p w14:paraId="00D1F47F" w14:textId="52E0284F" w:rsidR="005310E2" w:rsidRPr="00EE6CD6" w:rsidRDefault="00FF296D" w:rsidP="00EE6CD6">
            <w:pPr>
              <w:spacing w:before="120" w:after="120" w:line="240" w:lineRule="auto"/>
              <w:ind w:right="72"/>
              <w:jc w:val="both"/>
              <w:rPr>
                <w:rFonts w:ascii="Century Gothic" w:eastAsia="Calibri" w:hAnsi="Century Gothic" w:cs="Calibri"/>
                <w:b/>
                <w:bCs/>
                <w:lang w:val="en-US"/>
              </w:rPr>
            </w:pPr>
            <w:r>
              <w:rPr>
                <w:rFonts w:ascii="Century Gothic" w:hAnsi="Century Gothic"/>
                <w:i w:val="0"/>
                <w:iCs w:val="0"/>
              </w:rPr>
              <w:t xml:space="preserve">(Spreadsheet template </w:t>
            </w:r>
            <w:r w:rsidR="00C3494E">
              <w:rPr>
                <w:rFonts w:ascii="Century Gothic" w:hAnsi="Century Gothic"/>
                <w:i w:val="0"/>
                <w:iCs w:val="0"/>
              </w:rPr>
              <w:t>attached in CRP email).</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77777777" w:rsidR="005310E2" w:rsidRPr="00B5481B" w:rsidRDefault="005310E2" w:rsidP="005310E2">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5310E2" w:rsidRPr="00B5481B" w:rsidRDefault="005310E2" w:rsidP="005310E2">
            <w:pPr>
              <w:spacing w:before="80" w:after="80" w:line="240" w:lineRule="auto"/>
              <w:ind w:right="158"/>
              <w:rPr>
                <w:rFonts w:ascii="Century Gothic" w:hAnsi="Century Gothic"/>
                <w:i w:val="0"/>
                <w:iCs w:val="0"/>
              </w:rPr>
            </w:pPr>
          </w:p>
        </w:tc>
      </w:tr>
      <w:tr w:rsidR="005310E2" w:rsidRPr="00B5481B" w14:paraId="6FC4FF6E" w14:textId="77777777" w:rsidTr="0026738D">
        <w:trPr>
          <w:trHeight w:val="831"/>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2B565C72" w:rsidR="005310E2" w:rsidRPr="00B5481B" w:rsidRDefault="005310E2" w:rsidP="00EE6CD6">
            <w:pPr>
              <w:pStyle w:val="table"/>
              <w:tabs>
                <w:tab w:val="left" w:pos="3343"/>
              </w:tabs>
              <w:spacing w:before="120" w:after="120"/>
              <w:ind w:right="158"/>
              <w:jc w:val="both"/>
              <w:rPr>
                <w:rFonts w:ascii="Century Gothic" w:hAnsi="Century Gothic"/>
                <w:b/>
                <w:bCs/>
                <w:i w:val="0"/>
                <w:iCs w:val="0"/>
              </w:rPr>
            </w:pPr>
            <w:r>
              <w:rPr>
                <w:rFonts w:ascii="Century Gothic" w:hAnsi="Century Gothic"/>
                <w:b/>
                <w:bCs/>
                <w:i w:val="0"/>
                <w:iCs w:val="0"/>
              </w:rPr>
              <w:t>Review of Client Portfolios</w:t>
            </w:r>
            <w:r w:rsidRPr="00B5481B">
              <w:rPr>
                <w:rFonts w:ascii="Century Gothic" w:hAnsi="Century Gothic"/>
                <w:b/>
                <w:bCs/>
                <w:i w:val="0"/>
                <w:iCs w:val="0"/>
              </w:rPr>
              <w:t xml:space="preserve">: </w:t>
            </w:r>
            <w:r w:rsidRPr="000E05E7">
              <w:rPr>
                <w:rFonts w:ascii="Century Gothic" w:hAnsi="Century Gothic"/>
                <w:i w:val="0"/>
                <w:iCs w:val="0"/>
              </w:rPr>
              <w:t>Random review of client portfolios for consistency with Client objectives, restrictions and asset allocations and any unusual variances from the benchmark.</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77777777" w:rsidR="005310E2" w:rsidRPr="00B5481B" w:rsidRDefault="005310E2" w:rsidP="005310E2">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5310E2" w:rsidRPr="00B5481B" w:rsidRDefault="005310E2" w:rsidP="005310E2">
            <w:pPr>
              <w:spacing w:before="80" w:after="80" w:line="240" w:lineRule="auto"/>
              <w:ind w:right="158"/>
              <w:rPr>
                <w:rFonts w:ascii="Century Gothic" w:hAnsi="Century Gothic"/>
                <w:i w:val="0"/>
                <w:iCs w:val="0"/>
              </w:rPr>
            </w:pPr>
          </w:p>
        </w:tc>
      </w:tr>
      <w:tr w:rsidR="005310E2" w:rsidRPr="00B5481B" w14:paraId="5BDCDBC8" w14:textId="77777777" w:rsidTr="0026738D">
        <w:trPr>
          <w:trHeight w:val="831"/>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236A7F3" w14:textId="37A643AD" w:rsidR="005310E2" w:rsidRPr="00B5481B" w:rsidRDefault="005310E2" w:rsidP="00EE6CD6">
            <w:pPr>
              <w:spacing w:before="120" w:after="120" w:line="240" w:lineRule="auto"/>
              <w:jc w:val="both"/>
              <w:rPr>
                <w:rFonts w:ascii="Century Gothic" w:eastAsia="Calibri" w:hAnsi="Century Gothic" w:cs="Calibri"/>
                <w:b/>
                <w:bCs/>
                <w:i w:val="0"/>
                <w:iCs w:val="0"/>
                <w:lang w:val="en-US"/>
              </w:rPr>
            </w:pPr>
            <w:r w:rsidRPr="00374BF1">
              <w:rPr>
                <w:rFonts w:ascii="Century Gothic" w:hAnsi="Century Gothic"/>
                <w:b/>
                <w:bCs/>
                <w:i w:val="0"/>
                <w:iCs w:val="0"/>
              </w:rPr>
              <w:t>Federal Filings Review--**ONLY SEC Firms with $100m+ Equities and ETFs**</w:t>
            </w:r>
            <w:r>
              <w:rPr>
                <w:rFonts w:ascii="Century Gothic" w:hAnsi="Century Gothic"/>
                <w:b/>
                <w:bCs/>
                <w:i w:val="0"/>
                <w:iCs w:val="0"/>
              </w:rPr>
              <w:t>:</w:t>
            </w:r>
            <w:r w:rsidR="008806E5">
              <w:rPr>
                <w:rFonts w:ascii="Century Gothic" w:hAnsi="Century Gothic"/>
                <w:b/>
                <w:bCs/>
                <w:i w:val="0"/>
                <w:iCs w:val="0"/>
              </w:rPr>
              <w:t xml:space="preserve"> </w:t>
            </w:r>
            <w:r>
              <w:rPr>
                <w:rFonts w:ascii="Century Gothic" w:hAnsi="Century Gothic"/>
                <w:b/>
                <w:bCs/>
                <w:i w:val="0"/>
                <w:iCs w:val="0"/>
              </w:rPr>
              <w:t xml:space="preserve"> </w:t>
            </w:r>
            <w:r w:rsidRPr="00663DB6">
              <w:rPr>
                <w:rFonts w:ascii="Century Gothic" w:hAnsi="Century Gothic"/>
                <w:i w:val="0"/>
                <w:iCs w:val="0"/>
              </w:rPr>
              <w:t>Review Year-End Holdings Report for Potential 13-H/F/G/D Required Filing. Schedule 13D and certain 13G filings are required to be filed, at any time during the year, within 10 days of the initial triggering transaction and filing requirements remain continuous, not only at year end. Filing dates are usually 45 days after quarter-end.</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5D5E83A" w14:textId="77777777" w:rsidR="005310E2" w:rsidRPr="00B5481B" w:rsidRDefault="005310E2" w:rsidP="005310E2">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3AC679" w14:textId="77777777" w:rsidR="005310E2" w:rsidRPr="00B5481B" w:rsidRDefault="005310E2" w:rsidP="005310E2">
            <w:pPr>
              <w:spacing w:before="80" w:after="80" w:line="240" w:lineRule="auto"/>
              <w:ind w:right="158"/>
              <w:rPr>
                <w:rFonts w:ascii="Century Gothic" w:hAnsi="Century Gothic"/>
                <w:i w:val="0"/>
                <w:iCs w:val="0"/>
              </w:rPr>
            </w:pPr>
          </w:p>
        </w:tc>
      </w:tr>
      <w:tr w:rsidR="005310E2" w:rsidRPr="00B5481B" w14:paraId="3D9DC00E" w14:textId="77777777" w:rsidTr="002265CD">
        <w:trPr>
          <w:trHeight w:val="1611"/>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68B2C39" w14:textId="34D3AD25" w:rsidR="005310E2" w:rsidRPr="00B5481B" w:rsidRDefault="005310E2" w:rsidP="008806E5">
            <w:pPr>
              <w:pStyle w:val="table"/>
              <w:tabs>
                <w:tab w:val="left" w:pos="3343"/>
              </w:tabs>
              <w:spacing w:before="120" w:after="120"/>
              <w:ind w:right="158"/>
              <w:jc w:val="both"/>
              <w:rPr>
                <w:rFonts w:ascii="Century Gothic" w:hAnsi="Century Gothic"/>
                <w:b/>
                <w:bCs/>
                <w:i w:val="0"/>
                <w:iCs w:val="0"/>
              </w:rPr>
            </w:pPr>
            <w:r w:rsidRPr="002265CD">
              <w:rPr>
                <w:rFonts w:ascii="Century Gothic" w:eastAsia="Calibri" w:hAnsi="Century Gothic" w:cs="Calibri"/>
                <w:b/>
                <w:bCs/>
                <w:i w:val="0"/>
                <w:iCs w:val="0"/>
                <w:lang w:val="en-US"/>
              </w:rPr>
              <w:lastRenderedPageBreak/>
              <w:t>New Account Review</w:t>
            </w:r>
            <w:r>
              <w:rPr>
                <w:rFonts w:ascii="Century Gothic" w:eastAsia="Calibri" w:hAnsi="Century Gothic" w:cs="Calibri"/>
                <w:b/>
                <w:bCs/>
                <w:i w:val="0"/>
                <w:iCs w:val="0"/>
                <w:lang w:val="en-US"/>
              </w:rPr>
              <w:t>:</w:t>
            </w:r>
            <w:r w:rsidR="008806E5">
              <w:rPr>
                <w:rFonts w:ascii="Century Gothic" w:eastAsia="Calibri" w:hAnsi="Century Gothic" w:cs="Calibri"/>
                <w:b/>
                <w:bCs/>
                <w:i w:val="0"/>
                <w:iCs w:val="0"/>
                <w:lang w:val="en-US"/>
              </w:rPr>
              <w:t xml:space="preserve"> </w:t>
            </w:r>
            <w:r w:rsidRPr="00374BF1">
              <w:rPr>
                <w:rFonts w:ascii="Century Gothic" w:hAnsi="Century Gothic"/>
                <w:i w:val="0"/>
                <w:iCs w:val="0"/>
              </w:rPr>
              <w:t>Conduct random sample review of recently opened new client accounts to verify that account has been placed in a model and properly allocated to the portfolio. Compare the account's data to the client's paperwork and ensure the appropriate fee is billed</w:t>
            </w:r>
            <w:r w:rsidR="008806E5">
              <w:rPr>
                <w:rFonts w:ascii="Century Gothic" w:hAnsi="Century Gothic"/>
                <w:i w:val="0"/>
                <w:iCs w:val="0"/>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2C7023" w14:textId="77777777" w:rsidR="005310E2" w:rsidRPr="00B5481B" w:rsidRDefault="005310E2" w:rsidP="005310E2">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691A2" w14:textId="77777777" w:rsidR="005310E2" w:rsidRPr="00B5481B" w:rsidRDefault="005310E2" w:rsidP="005310E2">
            <w:pPr>
              <w:spacing w:before="80" w:after="80" w:line="240" w:lineRule="auto"/>
              <w:ind w:right="158"/>
              <w:rPr>
                <w:rFonts w:ascii="Century Gothic" w:hAnsi="Century Gothic"/>
                <w:i w:val="0"/>
                <w:iCs w:val="0"/>
              </w:rPr>
            </w:pPr>
          </w:p>
        </w:tc>
      </w:tr>
      <w:tr w:rsidR="005310E2" w:rsidRPr="004642DA" w14:paraId="743BBBF3" w14:textId="77777777" w:rsidTr="006A1565">
        <w:trPr>
          <w:trHeight w:val="998"/>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67A6E7" w14:textId="719F80D0" w:rsidR="005310E2" w:rsidRPr="009834F9" w:rsidRDefault="005310E2" w:rsidP="00EE6CD6">
            <w:pPr>
              <w:pStyle w:val="table"/>
              <w:tabs>
                <w:tab w:val="left" w:pos="3343"/>
              </w:tabs>
              <w:spacing w:before="120" w:after="120"/>
              <w:ind w:right="165"/>
              <w:jc w:val="both"/>
              <w:rPr>
                <w:rFonts w:ascii="Century Gothic" w:hAnsi="Century Gothic"/>
                <w:b/>
                <w:bCs/>
                <w:i w:val="0"/>
                <w:iCs w:val="0"/>
              </w:rPr>
            </w:pPr>
            <w:r w:rsidRPr="0079197B">
              <w:rPr>
                <w:rFonts w:ascii="Century Gothic" w:hAnsi="Century Gothic"/>
                <w:b/>
                <w:bCs/>
                <w:i w:val="0"/>
                <w:iCs w:val="0"/>
              </w:rPr>
              <w:t>Review Checks Received Blotte</w:t>
            </w:r>
            <w:r>
              <w:rPr>
                <w:rFonts w:ascii="Century Gothic" w:hAnsi="Century Gothic"/>
                <w:b/>
                <w:bCs/>
                <w:i w:val="0"/>
                <w:iCs w:val="0"/>
              </w:rPr>
              <w:t>r</w:t>
            </w:r>
            <w:r w:rsidRPr="00B5481B">
              <w:rPr>
                <w:rFonts w:ascii="Century Gothic" w:hAnsi="Century Gothic"/>
                <w:b/>
                <w:bCs/>
                <w:i w:val="0"/>
                <w:iCs w:val="0"/>
              </w:rPr>
              <w:t xml:space="preserve">: </w:t>
            </w:r>
            <w:r w:rsidRPr="0079197B">
              <w:rPr>
                <w:rFonts w:ascii="Century Gothic" w:hAnsi="Century Gothic"/>
                <w:i w:val="0"/>
                <w:iCs w:val="0"/>
              </w:rPr>
              <w:t xml:space="preserve"> Review the checks received/disbursed log for all client checks received by the RIA.  The rule state these checks must be made payable to a third party (Custodian), then logged and forwarded to the appropriate third party by following business day.  Client securities need to be delivered directly to the custodian by the client. Investment Advisors CANNOT receive securities without taking custody.   If a client has securities to be delivered, it is best practice for you to provide an overnight package with a carrier that provides a tracking service (UPS / FedEx) to the appropriate third party.</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57AB6D9" w14:textId="77777777" w:rsidR="005310E2" w:rsidRPr="00BE0EFA" w:rsidRDefault="005310E2" w:rsidP="005310E2">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FC56EE3" w14:textId="77777777" w:rsidR="005310E2" w:rsidRPr="00BE0EFA" w:rsidRDefault="005310E2" w:rsidP="005310E2">
            <w:pPr>
              <w:spacing w:before="80" w:after="80" w:line="240" w:lineRule="auto"/>
              <w:ind w:right="158"/>
              <w:rPr>
                <w:rFonts w:ascii="Century Gothic" w:hAnsi="Century Gothic"/>
                <w:i w:val="0"/>
                <w:iCs w:val="0"/>
              </w:rPr>
            </w:pPr>
          </w:p>
        </w:tc>
      </w:tr>
      <w:tr w:rsidR="005310E2" w:rsidRPr="00B5481B" w14:paraId="6A56829F" w14:textId="77777777" w:rsidTr="00B32A9C">
        <w:trPr>
          <w:trHeight w:val="1205"/>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CEEAB6D" w14:textId="5CE81768" w:rsidR="005310E2" w:rsidRPr="00B5481B" w:rsidRDefault="005310E2" w:rsidP="00EE6CD6">
            <w:pPr>
              <w:pStyle w:val="table"/>
              <w:tabs>
                <w:tab w:val="left" w:pos="3343"/>
              </w:tabs>
              <w:spacing w:before="120" w:after="120"/>
              <w:ind w:right="165"/>
              <w:jc w:val="both"/>
              <w:rPr>
                <w:rFonts w:ascii="Century Gothic" w:hAnsi="Century Gothic"/>
                <w:b/>
                <w:bCs/>
                <w:i w:val="0"/>
                <w:iCs w:val="0"/>
              </w:rPr>
            </w:pPr>
            <w:r w:rsidRPr="00805F99">
              <w:rPr>
                <w:rFonts w:ascii="Century Gothic" w:hAnsi="Century Gothic"/>
                <w:b/>
                <w:bCs/>
                <w:i w:val="0"/>
                <w:iCs w:val="0"/>
              </w:rPr>
              <w:t>Review Quarter-End Client Performance Reports</w:t>
            </w:r>
            <w:r>
              <w:rPr>
                <w:rFonts w:ascii="Century Gothic" w:hAnsi="Century Gothic"/>
                <w:b/>
                <w:bCs/>
                <w:i w:val="0"/>
                <w:iCs w:val="0"/>
              </w:rPr>
              <w:t>:</w:t>
            </w:r>
            <w:r w:rsidRPr="00B5481B">
              <w:rPr>
                <w:rFonts w:ascii="Century Gothic" w:hAnsi="Century Gothic"/>
                <w:i w:val="0"/>
                <w:iCs w:val="0"/>
              </w:rPr>
              <w:t xml:space="preserve">  </w:t>
            </w:r>
            <w:r w:rsidRPr="00805F99">
              <w:rPr>
                <w:rFonts w:ascii="Century Gothic" w:hAnsi="Century Gothic"/>
                <w:i w:val="0"/>
                <w:iCs w:val="0"/>
              </w:rPr>
              <w:t>Select sample of client files to review quarter end performance reports. Compare these against Custodian statements to ensure accuracy of financial reporting.</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B332F0B" w14:textId="77777777" w:rsidR="005310E2" w:rsidRPr="00B5481B" w:rsidRDefault="005310E2" w:rsidP="005310E2">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5A0868C" w14:textId="77777777" w:rsidR="005310E2" w:rsidRPr="00B5481B" w:rsidRDefault="005310E2" w:rsidP="005310E2">
            <w:pPr>
              <w:spacing w:before="80" w:after="80" w:line="240" w:lineRule="auto"/>
              <w:ind w:right="158"/>
              <w:rPr>
                <w:rFonts w:ascii="Century Gothic" w:hAnsi="Century Gothic"/>
                <w:i w:val="0"/>
                <w:iCs w:val="0"/>
              </w:rPr>
            </w:pPr>
          </w:p>
        </w:tc>
      </w:tr>
      <w:tr w:rsidR="005310E2" w:rsidRPr="004642DA" w14:paraId="1C60791F" w14:textId="77777777" w:rsidTr="00B32A9C">
        <w:trPr>
          <w:trHeight w:val="226"/>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AE98A03" w14:textId="512D3CA2" w:rsidR="005310E2" w:rsidRPr="00BE0EFA" w:rsidRDefault="005310E2" w:rsidP="005310E2">
            <w:pPr>
              <w:spacing w:before="80" w:after="80" w:line="240" w:lineRule="auto"/>
              <w:ind w:right="158"/>
              <w:jc w:val="both"/>
              <w:rPr>
                <w:rFonts w:ascii="Century Gothic" w:hAnsi="Century Gothic"/>
                <w:i w:val="0"/>
                <w:iCs w:val="0"/>
              </w:rPr>
            </w:pPr>
            <w:r w:rsidRPr="00B3452E">
              <w:rPr>
                <w:rFonts w:ascii="Century Gothic" w:hAnsi="Century Gothic"/>
                <w:b/>
                <w:bCs/>
                <w:i w:val="0"/>
                <w:iCs w:val="0"/>
              </w:rPr>
              <w:t>Frequency:</w:t>
            </w:r>
            <w:r>
              <w:rPr>
                <w:rFonts w:ascii="Century Gothic" w:hAnsi="Century Gothic"/>
                <w:b/>
                <w:bCs/>
                <w:i w:val="0"/>
                <w:iCs w:val="0"/>
              </w:rPr>
              <w:t xml:space="preserve"> Semi-Annually </w:t>
            </w:r>
          </w:p>
        </w:tc>
      </w:tr>
      <w:tr w:rsidR="005310E2" w:rsidRPr="00B5481B" w14:paraId="3D613F90"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00D6DC9C" w:rsidR="005310E2" w:rsidRPr="00B5481B" w:rsidRDefault="005310E2" w:rsidP="00EE6CD6">
            <w:pPr>
              <w:pStyle w:val="table"/>
              <w:tabs>
                <w:tab w:val="left" w:pos="3343"/>
              </w:tabs>
              <w:spacing w:before="120" w:after="120"/>
              <w:ind w:right="165"/>
              <w:jc w:val="both"/>
              <w:rPr>
                <w:rFonts w:ascii="Century Gothic" w:hAnsi="Century Gothic"/>
                <w:b/>
                <w:bCs/>
                <w:i w:val="0"/>
                <w:iCs w:val="0"/>
              </w:rPr>
            </w:pPr>
            <w:r w:rsidRPr="0013569C">
              <w:rPr>
                <w:rFonts w:ascii="Century Gothic" w:hAnsi="Century Gothic"/>
                <w:b/>
                <w:bCs/>
                <w:i w:val="0"/>
                <w:iCs w:val="0"/>
              </w:rPr>
              <w:t>Disciplinary Review of Supervised Persons</w:t>
            </w:r>
            <w:r w:rsidRPr="00B5481B">
              <w:rPr>
                <w:rFonts w:ascii="Century Gothic" w:hAnsi="Century Gothic"/>
                <w:b/>
                <w:bCs/>
                <w:i w:val="0"/>
                <w:iCs w:val="0"/>
              </w:rPr>
              <w:t xml:space="preserve">: </w:t>
            </w:r>
            <w:r w:rsidRPr="0013569C">
              <w:rPr>
                <w:rFonts w:ascii="Century Gothic" w:hAnsi="Century Gothic"/>
                <w:i w:val="0"/>
                <w:iCs w:val="0"/>
              </w:rPr>
              <w:t>At least semi-annually, the CCO will review the firms disciplinary report for all registered persons on IARD. SEC registered firms must disclose on the Form CRS</w:t>
            </w:r>
            <w:r w:rsidR="00BE5DEE">
              <w:rPr>
                <w:rFonts w:ascii="Century Gothic" w:hAnsi="Century Gothic"/>
                <w:i w:val="0"/>
                <w:iCs w:val="0"/>
              </w:rPr>
              <w:t xml:space="preserve"> and </w:t>
            </w:r>
            <w:r w:rsidR="00F3236F">
              <w:rPr>
                <w:rFonts w:ascii="Century Gothic" w:hAnsi="Century Gothic"/>
                <w:i w:val="0"/>
                <w:iCs w:val="0"/>
              </w:rPr>
              <w:t xml:space="preserve">ADV </w:t>
            </w:r>
            <w:r w:rsidR="00BE5DEE">
              <w:rPr>
                <w:rFonts w:ascii="Century Gothic" w:hAnsi="Century Gothic"/>
                <w:i w:val="0"/>
                <w:iCs w:val="0"/>
              </w:rPr>
              <w:t>2B</w:t>
            </w:r>
            <w:r w:rsidRPr="0013569C">
              <w:rPr>
                <w:rFonts w:ascii="Century Gothic" w:hAnsi="Century Gothic"/>
                <w:i w:val="0"/>
                <w:iCs w:val="0"/>
              </w:rPr>
              <w:t xml:space="preserve"> </w:t>
            </w:r>
            <w:r w:rsidR="00F3236F">
              <w:rPr>
                <w:rFonts w:ascii="Century Gothic" w:hAnsi="Century Gothic"/>
                <w:i w:val="0"/>
                <w:iCs w:val="0"/>
              </w:rPr>
              <w:t xml:space="preserve">Brochure </w:t>
            </w:r>
            <w:r w:rsidRPr="0013569C">
              <w:rPr>
                <w:rFonts w:ascii="Century Gothic" w:hAnsi="Century Gothic"/>
                <w:i w:val="0"/>
                <w:iCs w:val="0"/>
              </w:rPr>
              <w:t>if any person has a reportable disclosure.</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77777777" w:rsidR="005310E2" w:rsidRPr="00B5481B" w:rsidRDefault="005310E2" w:rsidP="00EE6CD6">
            <w:pPr>
              <w:pStyle w:val="table"/>
              <w:spacing w:before="120" w:after="12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77777777" w:rsidR="005310E2" w:rsidRPr="00B5481B" w:rsidRDefault="005310E2" w:rsidP="00EE6CD6">
            <w:pPr>
              <w:spacing w:before="120" w:after="120" w:line="240" w:lineRule="auto"/>
              <w:ind w:right="158"/>
              <w:rPr>
                <w:rFonts w:ascii="Century Gothic" w:hAnsi="Century Gothic"/>
                <w:i w:val="0"/>
                <w:iCs w:val="0"/>
              </w:rPr>
            </w:pPr>
          </w:p>
        </w:tc>
      </w:tr>
      <w:tr w:rsidR="005310E2" w:rsidRPr="00B5481B" w14:paraId="106988C8"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D8E1B2E" w14:textId="615C26A6" w:rsidR="005310E2" w:rsidRPr="00B5481B" w:rsidRDefault="005310E2" w:rsidP="00EE6CD6">
            <w:pPr>
              <w:pStyle w:val="table"/>
              <w:tabs>
                <w:tab w:val="left" w:pos="3343"/>
              </w:tabs>
              <w:spacing w:before="120" w:after="120"/>
              <w:ind w:right="165"/>
              <w:jc w:val="both"/>
              <w:rPr>
                <w:rFonts w:ascii="Century Gothic" w:hAnsi="Century Gothic"/>
                <w:b/>
                <w:bCs/>
                <w:i w:val="0"/>
                <w:iCs w:val="0"/>
              </w:rPr>
            </w:pPr>
            <w:r w:rsidRPr="00E91D8C">
              <w:rPr>
                <w:rFonts w:ascii="Century Gothic" w:hAnsi="Century Gothic"/>
                <w:b/>
                <w:bCs/>
                <w:i w:val="0"/>
                <w:iCs w:val="0"/>
              </w:rPr>
              <w:t xml:space="preserve">SLOA Custody Review (if applicable) </w:t>
            </w:r>
            <w:r w:rsidRPr="00B5481B">
              <w:rPr>
                <w:rFonts w:ascii="Century Gothic" w:hAnsi="Century Gothic"/>
                <w:b/>
                <w:bCs/>
                <w:i w:val="0"/>
                <w:iCs w:val="0"/>
              </w:rPr>
              <w:t xml:space="preserve">: </w:t>
            </w:r>
            <w:r w:rsidRPr="00E64226">
              <w:rPr>
                <w:rFonts w:ascii="Century Gothic" w:hAnsi="Century Gothic"/>
                <w:i w:val="0"/>
                <w:iCs w:val="0"/>
              </w:rPr>
              <w:t>Pull SLOA report from custodian. Identify all third-party money movements and maintain records showing that the third</w:t>
            </w:r>
            <w:r w:rsidR="00F9066E">
              <w:rPr>
                <w:rFonts w:ascii="Century Gothic" w:hAnsi="Century Gothic"/>
                <w:i w:val="0"/>
                <w:iCs w:val="0"/>
              </w:rPr>
              <w:t>-</w:t>
            </w:r>
            <w:r w:rsidRPr="00E64226">
              <w:rPr>
                <w:rFonts w:ascii="Century Gothic" w:hAnsi="Century Gothic"/>
                <w:i w:val="0"/>
                <w:iCs w:val="0"/>
              </w:rPr>
              <w:t>party is not a related party of the investment advisor or located at the same address as the investment advisor. Obtain the annual letter from client's qualified custodian reconfirming the SLOA instructions on file (sent from the Custodian near or around year-end).</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FB5A96C" w14:textId="77777777" w:rsidR="005310E2" w:rsidRPr="00B5481B" w:rsidRDefault="005310E2" w:rsidP="00EE6CD6">
            <w:pPr>
              <w:pStyle w:val="table"/>
              <w:spacing w:before="120" w:after="12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317BDD" w14:textId="77777777" w:rsidR="005310E2" w:rsidRPr="00B5481B" w:rsidRDefault="005310E2" w:rsidP="00EE6CD6">
            <w:pPr>
              <w:spacing w:before="120" w:after="120" w:line="240" w:lineRule="auto"/>
              <w:ind w:right="158"/>
              <w:rPr>
                <w:rFonts w:ascii="Century Gothic" w:hAnsi="Century Gothic"/>
                <w:i w:val="0"/>
                <w:iCs w:val="0"/>
              </w:rPr>
            </w:pPr>
          </w:p>
        </w:tc>
      </w:tr>
    </w:tbl>
    <w:p w14:paraId="0FE1FB51" w14:textId="77777777" w:rsidR="00FF1974" w:rsidRPr="00286EBA" w:rsidRDefault="00FF1974" w:rsidP="0026738D">
      <w:pPr>
        <w:rPr>
          <w:b/>
          <w:bCs/>
          <w:i w:val="0"/>
          <w:iCs w:val="0"/>
          <w:color w:val="000000" w:themeColor="text1"/>
          <w:sz w:val="22"/>
          <w:szCs w:val="22"/>
        </w:rPr>
      </w:pPr>
    </w:p>
    <w:sectPr w:rsidR="00FF1974" w:rsidRPr="00286EBA" w:rsidSect="00EE6CD6">
      <w:headerReference w:type="default" r:id="rId11"/>
      <w:pgSz w:w="12240" w:h="15840"/>
      <w:pgMar w:top="1989" w:right="1440" w:bottom="1440" w:left="144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11E1" w14:textId="77777777" w:rsidR="00FE11AF" w:rsidRDefault="00FE11AF" w:rsidP="00C72A58">
      <w:pPr>
        <w:spacing w:after="0" w:line="240" w:lineRule="auto"/>
      </w:pPr>
      <w:r>
        <w:separator/>
      </w:r>
    </w:p>
  </w:endnote>
  <w:endnote w:type="continuationSeparator" w:id="0">
    <w:p w14:paraId="3A4E67F4" w14:textId="77777777" w:rsidR="00FE11AF" w:rsidRDefault="00FE11AF" w:rsidP="00C72A58">
      <w:pPr>
        <w:spacing w:after="0" w:line="240" w:lineRule="auto"/>
      </w:pPr>
      <w:r>
        <w:continuationSeparator/>
      </w:r>
    </w:p>
  </w:endnote>
  <w:endnote w:type="continuationNotice" w:id="1">
    <w:p w14:paraId="518302B9" w14:textId="77777777" w:rsidR="00FE11AF" w:rsidRDefault="00FE1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5ACC" w14:textId="77777777" w:rsidR="00FE11AF" w:rsidRDefault="00FE11AF" w:rsidP="00C72A58">
      <w:pPr>
        <w:spacing w:after="0" w:line="240" w:lineRule="auto"/>
      </w:pPr>
      <w:r>
        <w:separator/>
      </w:r>
    </w:p>
  </w:footnote>
  <w:footnote w:type="continuationSeparator" w:id="0">
    <w:p w14:paraId="3DB616CC" w14:textId="77777777" w:rsidR="00FE11AF" w:rsidRDefault="00FE11AF" w:rsidP="00C72A58">
      <w:pPr>
        <w:spacing w:after="0" w:line="240" w:lineRule="auto"/>
      </w:pPr>
      <w:r>
        <w:continuationSeparator/>
      </w:r>
    </w:p>
  </w:footnote>
  <w:footnote w:type="continuationNotice" w:id="1">
    <w:p w14:paraId="36FA6D5E" w14:textId="77777777" w:rsidR="00FE11AF" w:rsidRDefault="00FE1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7"/>
  </w:num>
  <w:num w:numId="2">
    <w:abstractNumId w:val="25"/>
  </w:num>
  <w:num w:numId="3">
    <w:abstractNumId w:val="23"/>
  </w:num>
  <w:num w:numId="4">
    <w:abstractNumId w:val="2"/>
  </w:num>
  <w:num w:numId="5">
    <w:abstractNumId w:val="6"/>
  </w:num>
  <w:num w:numId="6">
    <w:abstractNumId w:val="11"/>
  </w:num>
  <w:num w:numId="7">
    <w:abstractNumId w:val="18"/>
  </w:num>
  <w:num w:numId="8">
    <w:abstractNumId w:val="14"/>
  </w:num>
  <w:num w:numId="9">
    <w:abstractNumId w:val="19"/>
  </w:num>
  <w:num w:numId="10">
    <w:abstractNumId w:val="12"/>
  </w:num>
  <w:num w:numId="11">
    <w:abstractNumId w:val="0"/>
  </w:num>
  <w:num w:numId="12">
    <w:abstractNumId w:val="28"/>
  </w:num>
  <w:num w:numId="13">
    <w:abstractNumId w:val="4"/>
  </w:num>
  <w:num w:numId="14">
    <w:abstractNumId w:val="20"/>
  </w:num>
  <w:num w:numId="15">
    <w:abstractNumId w:val="5"/>
  </w:num>
  <w:num w:numId="16">
    <w:abstractNumId w:val="10"/>
  </w:num>
  <w:num w:numId="17">
    <w:abstractNumId w:val="8"/>
  </w:num>
  <w:num w:numId="18">
    <w:abstractNumId w:val="7"/>
  </w:num>
  <w:num w:numId="19">
    <w:abstractNumId w:val="13"/>
  </w:num>
  <w:num w:numId="20">
    <w:abstractNumId w:val="21"/>
  </w:num>
  <w:num w:numId="21">
    <w:abstractNumId w:val="15"/>
  </w:num>
  <w:num w:numId="22">
    <w:abstractNumId w:val="17"/>
  </w:num>
  <w:num w:numId="23">
    <w:abstractNumId w:val="16"/>
  </w:num>
  <w:num w:numId="24">
    <w:abstractNumId w:val="24"/>
  </w:num>
  <w:num w:numId="25">
    <w:abstractNumId w:val="22"/>
  </w:num>
  <w:num w:numId="26">
    <w:abstractNumId w:val="24"/>
  </w:num>
  <w:num w:numId="27">
    <w:abstractNumId w:val="26"/>
  </w:num>
  <w:num w:numId="28">
    <w:abstractNumId w:val="1"/>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3F9"/>
    <w:rsid w:val="000169FE"/>
    <w:rsid w:val="00042186"/>
    <w:rsid w:val="00052E5F"/>
    <w:rsid w:val="00053CF4"/>
    <w:rsid w:val="000603D2"/>
    <w:rsid w:val="00071054"/>
    <w:rsid w:val="00071CF0"/>
    <w:rsid w:val="00071E86"/>
    <w:rsid w:val="00072B16"/>
    <w:rsid w:val="00073325"/>
    <w:rsid w:val="00080643"/>
    <w:rsid w:val="000816A4"/>
    <w:rsid w:val="00083B67"/>
    <w:rsid w:val="00096446"/>
    <w:rsid w:val="00097011"/>
    <w:rsid w:val="000B44A1"/>
    <w:rsid w:val="000B667F"/>
    <w:rsid w:val="000C78A0"/>
    <w:rsid w:val="000D4130"/>
    <w:rsid w:val="000D4821"/>
    <w:rsid w:val="000E05E7"/>
    <w:rsid w:val="000E259E"/>
    <w:rsid w:val="000E30BC"/>
    <w:rsid w:val="000E5836"/>
    <w:rsid w:val="000F64D0"/>
    <w:rsid w:val="00101163"/>
    <w:rsid w:val="001050CA"/>
    <w:rsid w:val="0010521D"/>
    <w:rsid w:val="00107A2A"/>
    <w:rsid w:val="00111F2E"/>
    <w:rsid w:val="00117A91"/>
    <w:rsid w:val="001200C5"/>
    <w:rsid w:val="001206DD"/>
    <w:rsid w:val="00126C84"/>
    <w:rsid w:val="0013569C"/>
    <w:rsid w:val="00136972"/>
    <w:rsid w:val="001508D7"/>
    <w:rsid w:val="001539A8"/>
    <w:rsid w:val="00156EF4"/>
    <w:rsid w:val="00163B21"/>
    <w:rsid w:val="00170CCE"/>
    <w:rsid w:val="00181C40"/>
    <w:rsid w:val="00185F54"/>
    <w:rsid w:val="001866E2"/>
    <w:rsid w:val="001939D3"/>
    <w:rsid w:val="001960F7"/>
    <w:rsid w:val="00196C44"/>
    <w:rsid w:val="001A6BCC"/>
    <w:rsid w:val="001B17E2"/>
    <w:rsid w:val="001B58C8"/>
    <w:rsid w:val="001C7270"/>
    <w:rsid w:val="001D1F7A"/>
    <w:rsid w:val="001E06F4"/>
    <w:rsid w:val="001E64AE"/>
    <w:rsid w:val="001F48C9"/>
    <w:rsid w:val="00212260"/>
    <w:rsid w:val="0021376A"/>
    <w:rsid w:val="00213862"/>
    <w:rsid w:val="002265CD"/>
    <w:rsid w:val="00231D7B"/>
    <w:rsid w:val="0024258C"/>
    <w:rsid w:val="00243D32"/>
    <w:rsid w:val="002453E9"/>
    <w:rsid w:val="002523EB"/>
    <w:rsid w:val="002609F0"/>
    <w:rsid w:val="00260E45"/>
    <w:rsid w:val="002635D2"/>
    <w:rsid w:val="00265CAC"/>
    <w:rsid w:val="00266018"/>
    <w:rsid w:val="0026738D"/>
    <w:rsid w:val="00277F6F"/>
    <w:rsid w:val="00281205"/>
    <w:rsid w:val="00286EBA"/>
    <w:rsid w:val="002935F4"/>
    <w:rsid w:val="0029769B"/>
    <w:rsid w:val="002A7C10"/>
    <w:rsid w:val="002B2511"/>
    <w:rsid w:val="002C104B"/>
    <w:rsid w:val="002C6E6B"/>
    <w:rsid w:val="002D1DA0"/>
    <w:rsid w:val="002D38D2"/>
    <w:rsid w:val="002D5215"/>
    <w:rsid w:val="002E253D"/>
    <w:rsid w:val="002E38B6"/>
    <w:rsid w:val="002E41A8"/>
    <w:rsid w:val="002F0E70"/>
    <w:rsid w:val="00300400"/>
    <w:rsid w:val="003012F1"/>
    <w:rsid w:val="003014E0"/>
    <w:rsid w:val="00302221"/>
    <w:rsid w:val="00310CDA"/>
    <w:rsid w:val="0032038E"/>
    <w:rsid w:val="00325BF6"/>
    <w:rsid w:val="003325F2"/>
    <w:rsid w:val="00333A5A"/>
    <w:rsid w:val="00335D3D"/>
    <w:rsid w:val="00340E73"/>
    <w:rsid w:val="0034152F"/>
    <w:rsid w:val="003479E0"/>
    <w:rsid w:val="00356CCD"/>
    <w:rsid w:val="00362420"/>
    <w:rsid w:val="00372907"/>
    <w:rsid w:val="003733E7"/>
    <w:rsid w:val="00374BF1"/>
    <w:rsid w:val="00381B4A"/>
    <w:rsid w:val="00384929"/>
    <w:rsid w:val="00386F6C"/>
    <w:rsid w:val="00392D58"/>
    <w:rsid w:val="0039717B"/>
    <w:rsid w:val="00397A33"/>
    <w:rsid w:val="003A3495"/>
    <w:rsid w:val="003B03CE"/>
    <w:rsid w:val="003B2E36"/>
    <w:rsid w:val="003B6F9F"/>
    <w:rsid w:val="003C5715"/>
    <w:rsid w:val="003D47EB"/>
    <w:rsid w:val="003E419F"/>
    <w:rsid w:val="003E5381"/>
    <w:rsid w:val="003E647F"/>
    <w:rsid w:val="003F11AA"/>
    <w:rsid w:val="003F5C74"/>
    <w:rsid w:val="003F63BF"/>
    <w:rsid w:val="003F668A"/>
    <w:rsid w:val="004018D8"/>
    <w:rsid w:val="004026E1"/>
    <w:rsid w:val="00403215"/>
    <w:rsid w:val="004211B3"/>
    <w:rsid w:val="00421DC4"/>
    <w:rsid w:val="0044538F"/>
    <w:rsid w:val="00446D3B"/>
    <w:rsid w:val="004642DA"/>
    <w:rsid w:val="00476DC0"/>
    <w:rsid w:val="00477666"/>
    <w:rsid w:val="00477F18"/>
    <w:rsid w:val="00481023"/>
    <w:rsid w:val="00483603"/>
    <w:rsid w:val="004947EB"/>
    <w:rsid w:val="0049773B"/>
    <w:rsid w:val="004A40BD"/>
    <w:rsid w:val="004A58C0"/>
    <w:rsid w:val="004B7167"/>
    <w:rsid w:val="004C0791"/>
    <w:rsid w:val="004D1605"/>
    <w:rsid w:val="004D1E21"/>
    <w:rsid w:val="004D2712"/>
    <w:rsid w:val="004D5683"/>
    <w:rsid w:val="004D6C21"/>
    <w:rsid w:val="004D7B50"/>
    <w:rsid w:val="004D7BA7"/>
    <w:rsid w:val="004E4907"/>
    <w:rsid w:val="004F413A"/>
    <w:rsid w:val="004F6407"/>
    <w:rsid w:val="00500AC4"/>
    <w:rsid w:val="0050475C"/>
    <w:rsid w:val="00504C67"/>
    <w:rsid w:val="00510551"/>
    <w:rsid w:val="00514ADF"/>
    <w:rsid w:val="005169A1"/>
    <w:rsid w:val="00517DF5"/>
    <w:rsid w:val="00525378"/>
    <w:rsid w:val="00526404"/>
    <w:rsid w:val="005310E2"/>
    <w:rsid w:val="005314E1"/>
    <w:rsid w:val="00531D65"/>
    <w:rsid w:val="00534301"/>
    <w:rsid w:val="005362EF"/>
    <w:rsid w:val="00537560"/>
    <w:rsid w:val="00544A99"/>
    <w:rsid w:val="005504CD"/>
    <w:rsid w:val="005507E3"/>
    <w:rsid w:val="00561A99"/>
    <w:rsid w:val="00562A2E"/>
    <w:rsid w:val="00572DF0"/>
    <w:rsid w:val="00574021"/>
    <w:rsid w:val="00574255"/>
    <w:rsid w:val="00587F22"/>
    <w:rsid w:val="005A6523"/>
    <w:rsid w:val="005A6609"/>
    <w:rsid w:val="005B40FE"/>
    <w:rsid w:val="005B59B2"/>
    <w:rsid w:val="005B6DA8"/>
    <w:rsid w:val="005C4DCB"/>
    <w:rsid w:val="005D4B8F"/>
    <w:rsid w:val="00603B24"/>
    <w:rsid w:val="00611D7F"/>
    <w:rsid w:val="00614894"/>
    <w:rsid w:val="00614B0B"/>
    <w:rsid w:val="00615445"/>
    <w:rsid w:val="00622991"/>
    <w:rsid w:val="00626256"/>
    <w:rsid w:val="006268D8"/>
    <w:rsid w:val="00627DC4"/>
    <w:rsid w:val="006307EF"/>
    <w:rsid w:val="00635404"/>
    <w:rsid w:val="006428A1"/>
    <w:rsid w:val="006445F8"/>
    <w:rsid w:val="00646C65"/>
    <w:rsid w:val="0064768A"/>
    <w:rsid w:val="00652E6E"/>
    <w:rsid w:val="00653A8E"/>
    <w:rsid w:val="0065613F"/>
    <w:rsid w:val="00663DB6"/>
    <w:rsid w:val="00664788"/>
    <w:rsid w:val="0066727C"/>
    <w:rsid w:val="0067216F"/>
    <w:rsid w:val="00675B15"/>
    <w:rsid w:val="00680CC0"/>
    <w:rsid w:val="00681242"/>
    <w:rsid w:val="006816E3"/>
    <w:rsid w:val="00683972"/>
    <w:rsid w:val="00684CD1"/>
    <w:rsid w:val="00684F96"/>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E5048"/>
    <w:rsid w:val="006E54DD"/>
    <w:rsid w:val="006F63A7"/>
    <w:rsid w:val="006F7CFE"/>
    <w:rsid w:val="00714D58"/>
    <w:rsid w:val="007164D1"/>
    <w:rsid w:val="007304E1"/>
    <w:rsid w:val="0073261D"/>
    <w:rsid w:val="007327C6"/>
    <w:rsid w:val="00733938"/>
    <w:rsid w:val="007341F6"/>
    <w:rsid w:val="00735A01"/>
    <w:rsid w:val="00741972"/>
    <w:rsid w:val="00741FD2"/>
    <w:rsid w:val="0074205D"/>
    <w:rsid w:val="007428BC"/>
    <w:rsid w:val="00747D45"/>
    <w:rsid w:val="0075053E"/>
    <w:rsid w:val="007550FB"/>
    <w:rsid w:val="00756463"/>
    <w:rsid w:val="0076528E"/>
    <w:rsid w:val="007701B1"/>
    <w:rsid w:val="00771DED"/>
    <w:rsid w:val="0077200C"/>
    <w:rsid w:val="00774810"/>
    <w:rsid w:val="00774AD3"/>
    <w:rsid w:val="00782780"/>
    <w:rsid w:val="0078472C"/>
    <w:rsid w:val="0079197B"/>
    <w:rsid w:val="007A203F"/>
    <w:rsid w:val="007A31DE"/>
    <w:rsid w:val="007B6100"/>
    <w:rsid w:val="007C4AD1"/>
    <w:rsid w:val="007C6145"/>
    <w:rsid w:val="007D5AA3"/>
    <w:rsid w:val="007D625E"/>
    <w:rsid w:val="007D7358"/>
    <w:rsid w:val="007E7AD8"/>
    <w:rsid w:val="007F560D"/>
    <w:rsid w:val="007F5BD0"/>
    <w:rsid w:val="007F6C12"/>
    <w:rsid w:val="00804529"/>
    <w:rsid w:val="00805F99"/>
    <w:rsid w:val="0080610B"/>
    <w:rsid w:val="008111F1"/>
    <w:rsid w:val="008143EC"/>
    <w:rsid w:val="00815EBA"/>
    <w:rsid w:val="00832DBC"/>
    <w:rsid w:val="00833CEC"/>
    <w:rsid w:val="00845DAB"/>
    <w:rsid w:val="00854426"/>
    <w:rsid w:val="00854EBB"/>
    <w:rsid w:val="008613EB"/>
    <w:rsid w:val="008621CA"/>
    <w:rsid w:val="008662EB"/>
    <w:rsid w:val="008729AF"/>
    <w:rsid w:val="008755B1"/>
    <w:rsid w:val="008806E5"/>
    <w:rsid w:val="00882954"/>
    <w:rsid w:val="00883A4B"/>
    <w:rsid w:val="008843FE"/>
    <w:rsid w:val="008926D8"/>
    <w:rsid w:val="0089683D"/>
    <w:rsid w:val="008A2910"/>
    <w:rsid w:val="008A4099"/>
    <w:rsid w:val="008B397C"/>
    <w:rsid w:val="008C1D41"/>
    <w:rsid w:val="008C29F9"/>
    <w:rsid w:val="008C6C15"/>
    <w:rsid w:val="008D11DF"/>
    <w:rsid w:val="008E2498"/>
    <w:rsid w:val="008E378A"/>
    <w:rsid w:val="008E405B"/>
    <w:rsid w:val="008E4FA1"/>
    <w:rsid w:val="008E6076"/>
    <w:rsid w:val="008F05C5"/>
    <w:rsid w:val="008F3177"/>
    <w:rsid w:val="008F3294"/>
    <w:rsid w:val="008F4A12"/>
    <w:rsid w:val="008F567B"/>
    <w:rsid w:val="009025A4"/>
    <w:rsid w:val="00904073"/>
    <w:rsid w:val="009107F9"/>
    <w:rsid w:val="009179B7"/>
    <w:rsid w:val="00921678"/>
    <w:rsid w:val="00931DD8"/>
    <w:rsid w:val="00933346"/>
    <w:rsid w:val="0093426A"/>
    <w:rsid w:val="0093640A"/>
    <w:rsid w:val="00937B54"/>
    <w:rsid w:val="0095121C"/>
    <w:rsid w:val="0095150E"/>
    <w:rsid w:val="009523AF"/>
    <w:rsid w:val="009527BD"/>
    <w:rsid w:val="009659D7"/>
    <w:rsid w:val="00972926"/>
    <w:rsid w:val="009834F9"/>
    <w:rsid w:val="009835D2"/>
    <w:rsid w:val="0098682E"/>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4A9B"/>
    <w:rsid w:val="009D59DA"/>
    <w:rsid w:val="009D64DC"/>
    <w:rsid w:val="009F0F2B"/>
    <w:rsid w:val="009F4BEC"/>
    <w:rsid w:val="009F4EDC"/>
    <w:rsid w:val="00A07B77"/>
    <w:rsid w:val="00A13FA8"/>
    <w:rsid w:val="00A14C14"/>
    <w:rsid w:val="00A23054"/>
    <w:rsid w:val="00A23B77"/>
    <w:rsid w:val="00A249BB"/>
    <w:rsid w:val="00A30531"/>
    <w:rsid w:val="00A31DBB"/>
    <w:rsid w:val="00A31FE6"/>
    <w:rsid w:val="00A32D3B"/>
    <w:rsid w:val="00A33147"/>
    <w:rsid w:val="00A37207"/>
    <w:rsid w:val="00A37F33"/>
    <w:rsid w:val="00A37F8A"/>
    <w:rsid w:val="00A44F8E"/>
    <w:rsid w:val="00A541E0"/>
    <w:rsid w:val="00A565B2"/>
    <w:rsid w:val="00A83424"/>
    <w:rsid w:val="00A94109"/>
    <w:rsid w:val="00A9694C"/>
    <w:rsid w:val="00A97C3D"/>
    <w:rsid w:val="00AA1728"/>
    <w:rsid w:val="00AA61CD"/>
    <w:rsid w:val="00AA7EDB"/>
    <w:rsid w:val="00AC0AB5"/>
    <w:rsid w:val="00AC0CAF"/>
    <w:rsid w:val="00AC295A"/>
    <w:rsid w:val="00AC6FDD"/>
    <w:rsid w:val="00AC7B5D"/>
    <w:rsid w:val="00AD115A"/>
    <w:rsid w:val="00AE3096"/>
    <w:rsid w:val="00AF0E85"/>
    <w:rsid w:val="00AF6E3F"/>
    <w:rsid w:val="00B0730F"/>
    <w:rsid w:val="00B16B78"/>
    <w:rsid w:val="00B17DB9"/>
    <w:rsid w:val="00B20406"/>
    <w:rsid w:val="00B311CF"/>
    <w:rsid w:val="00B31979"/>
    <w:rsid w:val="00B32A9C"/>
    <w:rsid w:val="00B33529"/>
    <w:rsid w:val="00B34FAD"/>
    <w:rsid w:val="00B374E1"/>
    <w:rsid w:val="00B5481B"/>
    <w:rsid w:val="00B6028C"/>
    <w:rsid w:val="00B64705"/>
    <w:rsid w:val="00B81DB9"/>
    <w:rsid w:val="00B86312"/>
    <w:rsid w:val="00B915B2"/>
    <w:rsid w:val="00BA2C2F"/>
    <w:rsid w:val="00BA6FBC"/>
    <w:rsid w:val="00BB289B"/>
    <w:rsid w:val="00BC1234"/>
    <w:rsid w:val="00BC2BAB"/>
    <w:rsid w:val="00BC3098"/>
    <w:rsid w:val="00BC5067"/>
    <w:rsid w:val="00BD22EA"/>
    <w:rsid w:val="00BD3302"/>
    <w:rsid w:val="00BE0EFA"/>
    <w:rsid w:val="00BE5DEE"/>
    <w:rsid w:val="00BF6023"/>
    <w:rsid w:val="00C06C46"/>
    <w:rsid w:val="00C265CC"/>
    <w:rsid w:val="00C27BF3"/>
    <w:rsid w:val="00C3494E"/>
    <w:rsid w:val="00C43ACA"/>
    <w:rsid w:val="00C43F2D"/>
    <w:rsid w:val="00C4491C"/>
    <w:rsid w:val="00C500EF"/>
    <w:rsid w:val="00C51ED3"/>
    <w:rsid w:val="00C60B3E"/>
    <w:rsid w:val="00C61CA7"/>
    <w:rsid w:val="00C6683B"/>
    <w:rsid w:val="00C71B3F"/>
    <w:rsid w:val="00C72A58"/>
    <w:rsid w:val="00C73E4B"/>
    <w:rsid w:val="00C746C2"/>
    <w:rsid w:val="00C80F6A"/>
    <w:rsid w:val="00C91106"/>
    <w:rsid w:val="00C93DD5"/>
    <w:rsid w:val="00CA34E2"/>
    <w:rsid w:val="00CA5351"/>
    <w:rsid w:val="00CA5CF1"/>
    <w:rsid w:val="00CB67EA"/>
    <w:rsid w:val="00CC53E7"/>
    <w:rsid w:val="00CD33AF"/>
    <w:rsid w:val="00CD642A"/>
    <w:rsid w:val="00CE4F0A"/>
    <w:rsid w:val="00CE6907"/>
    <w:rsid w:val="00CF3F5E"/>
    <w:rsid w:val="00D02F35"/>
    <w:rsid w:val="00D04CC3"/>
    <w:rsid w:val="00D1490D"/>
    <w:rsid w:val="00D14C70"/>
    <w:rsid w:val="00D21AB8"/>
    <w:rsid w:val="00D31E65"/>
    <w:rsid w:val="00D34A85"/>
    <w:rsid w:val="00D46F6E"/>
    <w:rsid w:val="00D53871"/>
    <w:rsid w:val="00D57B44"/>
    <w:rsid w:val="00D6641B"/>
    <w:rsid w:val="00D675F3"/>
    <w:rsid w:val="00D7496B"/>
    <w:rsid w:val="00D805E8"/>
    <w:rsid w:val="00D84357"/>
    <w:rsid w:val="00DA3917"/>
    <w:rsid w:val="00DA3D34"/>
    <w:rsid w:val="00DA5CEC"/>
    <w:rsid w:val="00DC6462"/>
    <w:rsid w:val="00DD21FA"/>
    <w:rsid w:val="00DD2E55"/>
    <w:rsid w:val="00DD4C87"/>
    <w:rsid w:val="00DD5D75"/>
    <w:rsid w:val="00DD6B72"/>
    <w:rsid w:val="00DE0E9D"/>
    <w:rsid w:val="00DE4ED6"/>
    <w:rsid w:val="00DE5CA5"/>
    <w:rsid w:val="00DF4FA8"/>
    <w:rsid w:val="00E017A9"/>
    <w:rsid w:val="00E0274F"/>
    <w:rsid w:val="00E03FFF"/>
    <w:rsid w:val="00E07A42"/>
    <w:rsid w:val="00E10EDB"/>
    <w:rsid w:val="00E12E97"/>
    <w:rsid w:val="00E17936"/>
    <w:rsid w:val="00E2126C"/>
    <w:rsid w:val="00E23B4E"/>
    <w:rsid w:val="00E3563E"/>
    <w:rsid w:val="00E361D6"/>
    <w:rsid w:val="00E40078"/>
    <w:rsid w:val="00E43C61"/>
    <w:rsid w:val="00E4426D"/>
    <w:rsid w:val="00E50F7C"/>
    <w:rsid w:val="00E51345"/>
    <w:rsid w:val="00E52DB3"/>
    <w:rsid w:val="00E52FAD"/>
    <w:rsid w:val="00E54BA4"/>
    <w:rsid w:val="00E64226"/>
    <w:rsid w:val="00E66CB4"/>
    <w:rsid w:val="00E71D35"/>
    <w:rsid w:val="00E758FC"/>
    <w:rsid w:val="00E81532"/>
    <w:rsid w:val="00E81B19"/>
    <w:rsid w:val="00E90DA1"/>
    <w:rsid w:val="00E91D8C"/>
    <w:rsid w:val="00E91EA1"/>
    <w:rsid w:val="00E94C94"/>
    <w:rsid w:val="00EA0D8F"/>
    <w:rsid w:val="00EA1019"/>
    <w:rsid w:val="00EB3461"/>
    <w:rsid w:val="00EB3532"/>
    <w:rsid w:val="00EB3C64"/>
    <w:rsid w:val="00EB5FC5"/>
    <w:rsid w:val="00EB785E"/>
    <w:rsid w:val="00EC44C8"/>
    <w:rsid w:val="00EC5A58"/>
    <w:rsid w:val="00EC7C37"/>
    <w:rsid w:val="00EE4F4A"/>
    <w:rsid w:val="00EE65B8"/>
    <w:rsid w:val="00EE6CD6"/>
    <w:rsid w:val="00EF118B"/>
    <w:rsid w:val="00EF676B"/>
    <w:rsid w:val="00F009BF"/>
    <w:rsid w:val="00F03D7C"/>
    <w:rsid w:val="00F045AC"/>
    <w:rsid w:val="00F04680"/>
    <w:rsid w:val="00F13FAA"/>
    <w:rsid w:val="00F1504D"/>
    <w:rsid w:val="00F175D3"/>
    <w:rsid w:val="00F2010B"/>
    <w:rsid w:val="00F237A8"/>
    <w:rsid w:val="00F310D7"/>
    <w:rsid w:val="00F3175F"/>
    <w:rsid w:val="00F3236F"/>
    <w:rsid w:val="00F512A9"/>
    <w:rsid w:val="00F5484F"/>
    <w:rsid w:val="00F66D52"/>
    <w:rsid w:val="00F85E80"/>
    <w:rsid w:val="00F86843"/>
    <w:rsid w:val="00F9066E"/>
    <w:rsid w:val="00F9375F"/>
    <w:rsid w:val="00F95AFC"/>
    <w:rsid w:val="00F96DF6"/>
    <w:rsid w:val="00F97804"/>
    <w:rsid w:val="00FA039E"/>
    <w:rsid w:val="00FA4FF7"/>
    <w:rsid w:val="00FB3F64"/>
    <w:rsid w:val="00FC3C9F"/>
    <w:rsid w:val="00FC50EE"/>
    <w:rsid w:val="00FD2777"/>
    <w:rsid w:val="00FD3900"/>
    <w:rsid w:val="00FD3CC9"/>
    <w:rsid w:val="00FD71E3"/>
    <w:rsid w:val="00FE11AF"/>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ind w:left="280" w:hanging="270"/>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ind w:left="1170"/>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Props1.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2.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4.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2022-01-26T15:02:00Z</dcterms:created>
  <dcterms:modified xsi:type="dcterms:W3CDTF">2022-01-31T17:35:00Z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