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BE07" w14:textId="79B145A3" w:rsidR="00EB3461" w:rsidRPr="004642DA" w:rsidRDefault="004642DA" w:rsidP="00C4491C">
      <w:pPr>
        <w:pStyle w:val="Title"/>
        <w:rPr>
          <w:rFonts w:ascii="Candara" w:hAnsi="Candara"/>
          <w:b/>
          <w:bCs/>
          <w:i w:val="0"/>
          <w:iCs w:val="0"/>
          <w:sz w:val="40"/>
          <w:szCs w:val="40"/>
        </w:rPr>
      </w:pPr>
      <w:r w:rsidRPr="004642DA">
        <w:rPr>
          <w:rFonts w:ascii="Candara" w:hAnsi="Candara"/>
          <w:b/>
          <w:bCs/>
          <w:i w:val="0"/>
          <w:iCs w:val="0"/>
          <w:noProof/>
          <w:sz w:val="40"/>
          <w:szCs w:val="40"/>
        </w:rPr>
        <mc:AlternateContent>
          <mc:Choice Requires="wps">
            <w:drawing>
              <wp:anchor distT="0" distB="0" distL="114300" distR="114300" simplePos="0" relativeHeight="251658241" behindDoc="1" locked="0" layoutInCell="1" allowOverlap="1" wp14:anchorId="6519BFC4" wp14:editId="6BB36AFA">
                <wp:simplePos x="0" y="0"/>
                <wp:positionH relativeFrom="column">
                  <wp:posOffset>-121392</wp:posOffset>
                </wp:positionH>
                <wp:positionV relativeFrom="paragraph">
                  <wp:posOffset>-219694</wp:posOffset>
                </wp:positionV>
                <wp:extent cx="3416300" cy="902451"/>
                <wp:effectExtent l="50800" t="25400" r="25400" b="2476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902451"/>
                        </a:xfrm>
                        <a:prstGeom prst="chevron">
                          <a:avLst>
                            <a:gd name="adj" fmla="val 35839"/>
                          </a:avLst>
                        </a:prstGeom>
                        <a:solidFill>
                          <a:srgbClr val="002060"/>
                        </a:solidFill>
                        <a:ln w="50800">
                          <a:solidFill>
                            <a:schemeClr val="bg1">
                              <a:lumMod val="100000"/>
                              <a:lumOff val="0"/>
                            </a:schemeClr>
                          </a:solidFill>
                          <a:miter lim="800000"/>
                          <a:headEnd/>
                          <a:tailEnd/>
                        </a:ln>
                        <a:effectLst/>
                      </wps:spPr>
                      <wps:bodyPr rot="0" vert="horz" wrap="square" lIns="91440" tIns="91440" rIns="91440" bIns="91440" anchor="t" anchorCtr="0" upright="1">
                        <a:noAutofit/>
                      </wps:bodyPr>
                    </wps:wsp>
                  </a:graphicData>
                </a:graphic>
                <wp14:sizeRelV relativeFrom="margin">
                  <wp14:pctHeight>0</wp14:pctHeight>
                </wp14:sizeRelV>
              </wp:anchor>
            </w:drawing>
          </mc:Choice>
          <mc:Fallback>
            <w:pict>
              <v:shapetype w14:anchorId="638878D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4" o:spid="_x0000_s1026" type="#_x0000_t55" style="position:absolute;margin-left:-9.55pt;margin-top:-17.3pt;width:269pt;height:71.0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" adj="19555" fillcolor="#002060" strokecolor="white [3212]" strokeweight="4pt">
                <v:textbox inset=",7.2pt,,7.2pt"/>
              </v:shape>
            </w:pict>
          </mc:Fallback>
        </mc:AlternateContent>
      </w:r>
      <w:r w:rsidR="00FF24B7" w:rsidRPr="004642DA">
        <w:rPr>
          <w:rFonts w:ascii="Candara" w:hAnsi="Candara"/>
          <w:b/>
          <w:bCs/>
          <w:i w:val="0"/>
          <w:iCs w:val="0"/>
          <w:noProof/>
          <w:sz w:val="40"/>
          <w:szCs w:val="40"/>
        </w:rPr>
        <mc:AlternateContent>
          <mc:Choice Requires="wps">
            <w:drawing>
              <wp:anchor distT="0" distB="0" distL="114300" distR="114300" simplePos="0" relativeHeight="251658240" behindDoc="1" locked="0" layoutInCell="1" allowOverlap="1" wp14:anchorId="0B37E881" wp14:editId="118B7CD6">
                <wp:simplePos x="0" y="0"/>
                <wp:positionH relativeFrom="column">
                  <wp:posOffset>-574040</wp:posOffset>
                </wp:positionH>
                <wp:positionV relativeFrom="paragraph">
                  <wp:posOffset>73956</wp:posOffset>
                </wp:positionV>
                <wp:extent cx="10325100" cy="180753"/>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0" cy="180753"/>
                        </a:xfrm>
                        <a:prstGeom prst="rect">
                          <a:avLst/>
                        </a:prstGeom>
                        <a:solidFill>
                          <a:srgbClr val="180E5A"/>
                        </a:solidFill>
                        <a:ln>
                          <a:noFill/>
                        </a:ln>
                        <a:effectLst/>
                      </wps:spPr>
                      <wps:bodyPr rot="0" vert="horz" wrap="square" lIns="91440" tIns="91440" rIns="91440" bIns="91440" anchor="t" anchorCtr="0" upright="1">
                        <a:noAutofit/>
                      </wps:bodyPr>
                    </wps:wsp>
                  </a:graphicData>
                </a:graphic>
                <wp14:sizeRelV relativeFrom="margin">
                  <wp14:pctHeight>0</wp14:pctHeight>
                </wp14:sizeRelV>
              </wp:anchor>
            </w:drawing>
          </mc:Choice>
          <mc:Fallback>
            <w:pict>
              <v:rect w14:anchorId="30D6E11A" id="Rectangle 2" o:spid="_x0000_s1026" style="position:absolute;margin-left:-45.2pt;margin-top:5.8pt;width:813pt;height:14.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" fillcolor="#180e5a" stroked="f">
                <v:textbox inset=",7.2pt,,7.2pt"/>
              </v:rect>
            </w:pict>
          </mc:Fallback>
        </mc:AlternateContent>
      </w:r>
      <w:r w:rsidRPr="004642DA">
        <w:rPr>
          <w:rFonts w:ascii="Candara" w:hAnsi="Candara"/>
          <w:b/>
          <w:bCs/>
          <w:i w:val="0"/>
          <w:iCs w:val="0"/>
          <w:sz w:val="40"/>
          <w:szCs w:val="40"/>
        </w:rPr>
        <w:t>C</w:t>
      </w:r>
      <w:r w:rsidR="000B667F">
        <w:rPr>
          <w:rFonts w:ascii="Candara" w:hAnsi="Candara"/>
          <w:b/>
          <w:bCs/>
          <w:i w:val="0"/>
          <w:iCs w:val="0"/>
          <w:sz w:val="40"/>
          <w:szCs w:val="40"/>
        </w:rPr>
        <w:t xml:space="preserve">CO </w:t>
      </w:r>
      <w:r w:rsidR="000D4130">
        <w:rPr>
          <w:rFonts w:ascii="Candara" w:hAnsi="Candara"/>
          <w:b/>
          <w:bCs/>
          <w:i w:val="0"/>
          <w:iCs w:val="0"/>
          <w:sz w:val="40"/>
          <w:szCs w:val="40"/>
        </w:rPr>
        <w:t>Checklist</w:t>
      </w:r>
      <w:r w:rsidRPr="004642DA">
        <w:rPr>
          <w:rFonts w:ascii="Candara" w:hAnsi="Candara"/>
          <w:b/>
          <w:bCs/>
          <w:i w:val="0"/>
          <w:iCs w:val="0"/>
          <w:sz w:val="40"/>
          <w:szCs w:val="40"/>
        </w:rPr>
        <w:t xml:space="preserve"> </w:t>
      </w:r>
      <w:r w:rsidR="000B667F">
        <w:rPr>
          <w:rFonts w:ascii="Candara" w:hAnsi="Candara"/>
          <w:b/>
          <w:bCs/>
          <w:i w:val="0"/>
          <w:iCs w:val="0"/>
          <w:sz w:val="40"/>
          <w:szCs w:val="40"/>
        </w:rPr>
        <w:t xml:space="preserve">  </w:t>
      </w:r>
    </w:p>
    <w:p w14:paraId="6C34F75C" w14:textId="77777777" w:rsidR="00514ADF" w:rsidRPr="004642DA" w:rsidRDefault="00514ADF" w:rsidP="00531D65">
      <w:pPr>
        <w:rPr>
          <w:sz w:val="8"/>
          <w:szCs w:val="8"/>
        </w:rPr>
      </w:pPr>
    </w:p>
    <w:tbl>
      <w:tblPr>
        <w:tblStyle w:val="TableGrid"/>
        <w:tblW w:w="14401" w:type="dxa"/>
        <w:tblInd w:w="-5" w:type="dxa"/>
        <w:tblLayout w:type="fixed"/>
        <w:tblLook w:val="04A0" w:firstRow="1" w:lastRow="0" w:firstColumn="1" w:lastColumn="0" w:noHBand="0" w:noVBand="1"/>
        <w:tblCaption w:val="Table"/>
        <w:tblDescription w:val="Table with checklist for a healthy lifestyle plan for each day of the week"/>
      </w:tblPr>
      <w:tblGrid>
        <w:gridCol w:w="8095"/>
        <w:gridCol w:w="416"/>
        <w:gridCol w:w="1491"/>
        <w:gridCol w:w="236"/>
        <w:gridCol w:w="4163"/>
      </w:tblGrid>
      <w:tr w:rsidR="005362EF" w:rsidRPr="00093908" w14:paraId="0B5053B5" w14:textId="77777777" w:rsidTr="004642DA">
        <w:trPr>
          <w:trHeight w:val="360"/>
        </w:trPr>
        <w:tc>
          <w:tcPr>
            <w:tcW w:w="80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BFBFBF" w:themeFill="background1" w:themeFillShade="BF"/>
            <w:vAlign w:val="center"/>
          </w:tcPr>
          <w:p w14:paraId="49F0A881" w14:textId="18C8BEDE" w:rsidR="00D675F3" w:rsidRPr="00093908" w:rsidRDefault="00093908" w:rsidP="00664788">
            <w:pPr>
              <w:pStyle w:val="largetext"/>
              <w:rPr>
                <w:rFonts w:asciiTheme="majorHAnsi" w:hAnsiTheme="majorHAnsi"/>
                <w:b/>
                <w:i w:val="0"/>
                <w:color w:val="FFFFFF" w:themeColor="background1"/>
                <w:sz w:val="20"/>
                <w:szCs w:val="13"/>
              </w:rPr>
            </w:pPr>
            <w:r w:rsidRPr="00093908">
              <w:rPr>
                <w:rFonts w:asciiTheme="majorHAnsi" w:hAnsiTheme="majorHAnsi"/>
                <w:b/>
                <w:bCs/>
                <w:i w:val="0"/>
                <w:iCs w:val="0"/>
                <w:sz w:val="20"/>
                <w:szCs w:val="13"/>
              </w:rPr>
              <w:t>DECEMBER</w:t>
            </w:r>
            <w:r w:rsidR="004642DA" w:rsidRPr="00093908">
              <w:rPr>
                <w:rFonts w:asciiTheme="majorHAnsi" w:hAnsiTheme="majorHAnsi"/>
                <w:b/>
                <w:i w:val="0"/>
                <w:sz w:val="20"/>
                <w:szCs w:val="13"/>
              </w:rPr>
              <w:t xml:space="preserve"> 202</w:t>
            </w:r>
            <w:r w:rsidR="00DA7609">
              <w:rPr>
                <w:rFonts w:asciiTheme="majorHAnsi" w:hAnsiTheme="majorHAnsi"/>
                <w:b/>
                <w:i w:val="0"/>
                <w:sz w:val="20"/>
                <w:szCs w:val="13"/>
              </w:rPr>
              <w:t>2</w:t>
            </w:r>
          </w:p>
        </w:tc>
        <w:tc>
          <w:tcPr>
            <w:tcW w:w="416"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BFBFBF" w:themeFill="background1" w:themeFillShade="BF"/>
            <w:vAlign w:val="center"/>
          </w:tcPr>
          <w:p w14:paraId="307D2984" w14:textId="77777777" w:rsidR="00D675F3" w:rsidRPr="00093908" w:rsidRDefault="00D675F3" w:rsidP="00093908">
            <w:pPr>
              <w:pStyle w:val="largetext"/>
              <w:jc w:val="center"/>
              <w:rPr>
                <w:rFonts w:asciiTheme="majorHAnsi" w:hAnsiTheme="majorHAnsi"/>
                <w:i w:val="0"/>
                <w:color w:val="FFFFFF" w:themeColor="background1"/>
                <w:sz w:val="20"/>
                <w:szCs w:val="13"/>
              </w:rPr>
            </w:pPr>
          </w:p>
        </w:tc>
        <w:tc>
          <w:tcPr>
            <w:tcW w:w="1491"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BFBFBF" w:themeFill="background1" w:themeFillShade="BF"/>
            <w:vAlign w:val="center"/>
          </w:tcPr>
          <w:p w14:paraId="4CAE7FD3" w14:textId="07CD90E9" w:rsidR="00D675F3" w:rsidRPr="00093908" w:rsidRDefault="00093908" w:rsidP="00093908">
            <w:pPr>
              <w:pStyle w:val="largetext"/>
              <w:jc w:val="center"/>
              <w:rPr>
                <w:rFonts w:asciiTheme="majorHAnsi" w:hAnsiTheme="majorHAnsi"/>
                <w:i w:val="0"/>
                <w:color w:val="000000" w:themeColor="text1"/>
                <w:sz w:val="20"/>
                <w:szCs w:val="13"/>
              </w:rPr>
            </w:pPr>
            <w:r w:rsidRPr="00093908">
              <w:rPr>
                <w:rFonts w:asciiTheme="majorHAnsi" w:hAnsiTheme="majorHAnsi"/>
                <w:i w:val="0"/>
                <w:iCs w:val="0"/>
                <w:color w:val="000000" w:themeColor="text1"/>
                <w:sz w:val="20"/>
                <w:szCs w:val="13"/>
              </w:rPr>
              <w:t>DATE COMPLETED</w:t>
            </w:r>
          </w:p>
        </w:tc>
        <w:tc>
          <w:tcPr>
            <w:tcW w:w="236" w:type="dxa"/>
            <w:tcBorders>
              <w:top w:val="nil"/>
              <w:left w:val="single" w:sz="4" w:space="0" w:color="999999" w:themeColor="text2" w:themeTint="66"/>
              <w:bottom w:val="nil"/>
              <w:right w:val="nil"/>
            </w:tcBorders>
            <w:shd w:val="clear" w:color="auto" w:fill="BFBFBF" w:themeFill="background1" w:themeFillShade="BF"/>
            <w:vAlign w:val="center"/>
          </w:tcPr>
          <w:p w14:paraId="5D6A9772" w14:textId="77777777" w:rsidR="00D675F3" w:rsidRPr="00093908" w:rsidRDefault="00D675F3" w:rsidP="00093908">
            <w:pPr>
              <w:spacing w:before="40" w:after="40" w:line="240" w:lineRule="auto"/>
              <w:jc w:val="center"/>
              <w:rPr>
                <w:rFonts w:asciiTheme="majorHAnsi" w:hAnsiTheme="majorHAnsi"/>
                <w:i w:val="0"/>
                <w:color w:val="000000" w:themeColor="text1"/>
                <w:szCs w:val="13"/>
              </w:rPr>
            </w:pPr>
          </w:p>
        </w:tc>
        <w:tc>
          <w:tcPr>
            <w:tcW w:w="4163" w:type="dxa"/>
            <w:vMerge w:val="restart"/>
            <w:tcBorders>
              <w:top w:val="nil"/>
              <w:left w:val="nil"/>
              <w:bottom w:val="nil"/>
              <w:right w:val="nil"/>
            </w:tcBorders>
            <w:shd w:val="clear" w:color="auto" w:fill="BFBFBF" w:themeFill="background1" w:themeFillShade="BF"/>
          </w:tcPr>
          <w:p w14:paraId="61BF84A3" w14:textId="77777777" w:rsidR="00D675F3" w:rsidRPr="00093908" w:rsidRDefault="00D675F3" w:rsidP="004642DA">
            <w:pPr>
              <w:pStyle w:val="numberedtextlight"/>
              <w:numPr>
                <w:ilvl w:val="0"/>
                <w:numId w:val="0"/>
              </w:numPr>
              <w:ind w:left="280"/>
              <w:jc w:val="center"/>
              <w:rPr>
                <w:i w:val="0"/>
                <w:color w:val="000000" w:themeColor="text1"/>
                <w:szCs w:val="13"/>
              </w:rPr>
            </w:pPr>
          </w:p>
        </w:tc>
      </w:tr>
      <w:tr w:rsidR="00AA5EFB" w:rsidRPr="00093908" w14:paraId="684637D3" w14:textId="77777777" w:rsidTr="00AA5EFB">
        <w:trPr>
          <w:trHeight w:val="360"/>
        </w:trPr>
        <w:tc>
          <w:tcPr>
            <w:tcW w:w="80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CDDEFF"/>
            <w:vAlign w:val="center"/>
          </w:tcPr>
          <w:p w14:paraId="7422983A" w14:textId="5E3168EC" w:rsidR="00AA5EFB" w:rsidRPr="00AA5EFB" w:rsidRDefault="00AA5EFB" w:rsidP="00664788">
            <w:pPr>
              <w:pStyle w:val="largetext"/>
              <w:rPr>
                <w:rFonts w:ascii="Calibri" w:hAnsi="Calibri" w:cs="Calibri"/>
                <w:b/>
                <w:bCs/>
                <w:i w:val="0"/>
                <w:iCs w:val="0"/>
                <w:sz w:val="20"/>
              </w:rPr>
            </w:pPr>
            <w:r w:rsidRPr="00AA5EFB">
              <w:rPr>
                <w:rFonts w:ascii="Calibri" w:hAnsi="Calibri" w:cs="Calibri"/>
                <w:b/>
                <w:i w:val="0"/>
                <w:iCs w:val="0"/>
                <w:color w:val="000000"/>
                <w:sz w:val="20"/>
              </w:rPr>
              <w:t>Advertising File contains materials used in 202</w:t>
            </w:r>
            <w:r w:rsidR="008A2438">
              <w:rPr>
                <w:rFonts w:ascii="Calibri" w:hAnsi="Calibri" w:cs="Calibri"/>
                <w:b/>
                <w:i w:val="0"/>
                <w:iCs w:val="0"/>
                <w:color w:val="000000"/>
                <w:sz w:val="20"/>
              </w:rPr>
              <w:t>2</w:t>
            </w:r>
            <w:r w:rsidRPr="00AA5EFB">
              <w:rPr>
                <w:rFonts w:ascii="Calibri" w:hAnsi="Calibri" w:cs="Calibri"/>
                <w:b/>
                <w:bCs/>
                <w:i w:val="0"/>
                <w:iCs w:val="0"/>
                <w:sz w:val="20"/>
              </w:rPr>
              <w:t xml:space="preserve"> -</w:t>
            </w:r>
            <w:r w:rsidRPr="00AA5EFB">
              <w:rPr>
                <w:rFonts w:ascii="Calibri" w:hAnsi="Calibri" w:cs="Calibri"/>
                <w:i w:val="0"/>
                <w:iCs w:val="0"/>
                <w:sz w:val="20"/>
              </w:rPr>
              <w:t xml:space="preserve"> </w:t>
            </w:r>
            <w:r w:rsidR="008A2438" w:rsidRPr="008A2438">
              <w:rPr>
                <w:rFonts w:ascii="Calibri" w:hAnsi="Calibri" w:cs="Calibri"/>
                <w:bCs/>
                <w:i w:val="0"/>
                <w:iCs w:val="0"/>
                <w:color w:val="000000"/>
                <w:sz w:val="20"/>
              </w:rPr>
              <w:t>Complete an advertising review for all advertising material that was used in the calendar year and ensure all is kept within the Advertising File. Review business presentations, commentaries, websites, social media sites, and other marketing materials for all necessary disclosures, ensure all materials have been approved through Compliance and employees are using the most current versions</w:t>
            </w:r>
            <w:r w:rsidRPr="00AA5EFB">
              <w:rPr>
                <w:rFonts w:ascii="Calibri" w:hAnsi="Calibri" w:cs="Calibri"/>
                <w:bCs/>
                <w:i w:val="0"/>
                <w:iCs w:val="0"/>
                <w:color w:val="000000"/>
                <w:sz w:val="20"/>
              </w:rPr>
              <w:t xml:space="preserve">. </w:t>
            </w:r>
            <w:r w:rsidRPr="00AA5EFB">
              <w:rPr>
                <w:rFonts w:ascii="Calibri" w:hAnsi="Calibri" w:cs="Calibri"/>
                <w:bCs/>
                <w:color w:val="000000"/>
                <w:sz w:val="20"/>
              </w:rPr>
              <w:t>Annually</w:t>
            </w:r>
          </w:p>
        </w:tc>
        <w:sdt>
          <w:sdtPr>
            <w:rPr>
              <w:rFonts w:ascii="Century Gothic" w:hAnsi="Century Gothic"/>
              <w:i w:val="0"/>
              <w:sz w:val="21"/>
              <w:szCs w:val="21"/>
            </w:rPr>
            <w:id w:val="807512405"/>
            <w15:appearance w15:val="hidden"/>
            <w14:checkbox>
              <w14:checked w14:val="0"/>
              <w14:checkedState w14:val="2612" w14:font="MS Gothic"/>
              <w14:uncheckedState w14:val="2610" w14:font="MS Gothic"/>
            </w14:checkbox>
          </w:sdtPr>
          <w:sdtEndPr/>
          <w:sdtContent>
            <w:tc>
              <w:tcPr>
                <w:tcW w:w="416"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auto"/>
                <w:vAlign w:val="center"/>
              </w:tcPr>
              <w:p w14:paraId="6E36E05B" w14:textId="071AEB05" w:rsidR="00AA5EFB" w:rsidRPr="00093908" w:rsidRDefault="00FF1C5C" w:rsidP="00093908">
                <w:pPr>
                  <w:pStyle w:val="largetext"/>
                  <w:jc w:val="center"/>
                  <w:rPr>
                    <w:rFonts w:asciiTheme="majorHAnsi" w:hAnsiTheme="majorHAnsi"/>
                    <w:i w:val="0"/>
                    <w:color w:val="FFFFFF" w:themeColor="background1"/>
                    <w:sz w:val="20"/>
                    <w:szCs w:val="13"/>
                  </w:rPr>
                </w:pPr>
                <w:r>
                  <w:rPr>
                    <w:rFonts w:ascii="MS Gothic" w:eastAsia="MS Gothic" w:hAnsi="MS Gothic" w:hint="eastAsia"/>
                    <w:i w:val="0"/>
                    <w:sz w:val="21"/>
                    <w:szCs w:val="21"/>
                  </w:rPr>
                  <w:t>☐</w:t>
                </w:r>
              </w:p>
            </w:tc>
          </w:sdtContent>
        </w:sdt>
        <w:tc>
          <w:tcPr>
            <w:tcW w:w="1491"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auto"/>
            <w:vAlign w:val="center"/>
          </w:tcPr>
          <w:p w14:paraId="4A49E37E" w14:textId="77777777" w:rsidR="00AA5EFB" w:rsidRPr="00093908" w:rsidRDefault="00AA5EFB" w:rsidP="00093908">
            <w:pPr>
              <w:pStyle w:val="largetext"/>
              <w:jc w:val="center"/>
              <w:rPr>
                <w:rFonts w:asciiTheme="majorHAnsi" w:hAnsiTheme="majorHAnsi"/>
                <w:i w:val="0"/>
                <w:iCs w:val="0"/>
                <w:color w:val="000000" w:themeColor="text1"/>
                <w:sz w:val="20"/>
                <w:szCs w:val="13"/>
              </w:rPr>
            </w:pPr>
          </w:p>
        </w:tc>
        <w:tc>
          <w:tcPr>
            <w:tcW w:w="236" w:type="dxa"/>
            <w:tcBorders>
              <w:top w:val="nil"/>
              <w:left w:val="single" w:sz="4" w:space="0" w:color="999999" w:themeColor="text2" w:themeTint="66"/>
              <w:bottom w:val="nil"/>
              <w:right w:val="nil"/>
            </w:tcBorders>
            <w:shd w:val="clear" w:color="auto" w:fill="auto"/>
            <w:vAlign w:val="center"/>
          </w:tcPr>
          <w:p w14:paraId="0FA929ED" w14:textId="77777777" w:rsidR="00AA5EFB" w:rsidRPr="00093908" w:rsidRDefault="00AA5EFB" w:rsidP="00093908">
            <w:pPr>
              <w:spacing w:before="40" w:after="40" w:line="240" w:lineRule="auto"/>
              <w:jc w:val="center"/>
              <w:rPr>
                <w:rFonts w:asciiTheme="majorHAnsi" w:hAnsiTheme="majorHAnsi"/>
                <w:i w:val="0"/>
                <w:color w:val="000000" w:themeColor="text1"/>
                <w:szCs w:val="13"/>
              </w:rPr>
            </w:pPr>
          </w:p>
        </w:tc>
        <w:tc>
          <w:tcPr>
            <w:tcW w:w="4163" w:type="dxa"/>
            <w:vMerge/>
            <w:tcBorders>
              <w:top w:val="nil"/>
              <w:left w:val="nil"/>
              <w:bottom w:val="nil"/>
              <w:right w:val="nil"/>
            </w:tcBorders>
            <w:shd w:val="clear" w:color="auto" w:fill="BFBFBF" w:themeFill="background1" w:themeFillShade="BF"/>
          </w:tcPr>
          <w:p w14:paraId="67BA11B5" w14:textId="77777777" w:rsidR="00AA5EFB" w:rsidRDefault="00AA5EFB" w:rsidP="00093908">
            <w:pPr>
              <w:spacing w:after="0" w:line="240" w:lineRule="auto"/>
              <w:jc w:val="center"/>
              <w:rPr>
                <w:rFonts w:asciiTheme="majorHAnsi" w:hAnsiTheme="majorHAnsi"/>
                <w:i w:val="0"/>
                <w:iCs w:val="0"/>
                <w:color w:val="000000" w:themeColor="text1"/>
                <w:szCs w:val="13"/>
              </w:rPr>
            </w:pPr>
          </w:p>
        </w:tc>
      </w:tr>
      <w:tr w:rsidR="003B1BAE" w:rsidRPr="00426663" w14:paraId="42B40BB1" w14:textId="77777777" w:rsidTr="00AA57DA">
        <w:trPr>
          <w:trHeight w:val="1448"/>
        </w:trPr>
        <w:tc>
          <w:tcPr>
            <w:tcW w:w="8095" w:type="dxa"/>
            <w:tcBorders>
              <w:top w:val="single" w:sz="4" w:space="0" w:color="8EA9DB"/>
              <w:left w:val="single" w:sz="4" w:space="0" w:color="8EA9DB"/>
              <w:bottom w:val="single" w:sz="4" w:space="0" w:color="8EA9DB"/>
              <w:right w:val="nil"/>
            </w:tcBorders>
            <w:shd w:val="clear" w:color="auto" w:fill="auto"/>
            <w:vAlign w:val="bottom"/>
          </w:tcPr>
          <w:p w14:paraId="77245464" w14:textId="276A3415" w:rsidR="003B1BAE" w:rsidRPr="00AA57DA" w:rsidRDefault="003B1BAE" w:rsidP="003B1BAE">
            <w:pPr>
              <w:pStyle w:val="table"/>
              <w:spacing w:beforeLines="60" w:before="144" w:afterLines="60" w:after="144"/>
              <w:rPr>
                <w:rFonts w:ascii="Calibri" w:hAnsi="Calibri" w:cs="Calibri"/>
                <w:b/>
                <w:i w:val="0"/>
                <w:color w:val="000000"/>
              </w:rPr>
            </w:pPr>
            <w:r w:rsidRPr="00AA57DA">
              <w:rPr>
                <w:rFonts w:ascii="Calibri" w:hAnsi="Calibri" w:cs="Calibri"/>
                <w:b/>
                <w:i w:val="0"/>
                <w:color w:val="000000"/>
              </w:rPr>
              <w:t>Annual Compliance Program Review</w:t>
            </w:r>
            <w:r w:rsidRPr="00AA57DA">
              <w:rPr>
                <w:rFonts w:ascii="Calibri" w:hAnsi="Calibri" w:cs="Calibri"/>
                <w:b/>
                <w:bCs/>
                <w:i w:val="0"/>
                <w:iCs w:val="0"/>
                <w:color w:val="000000"/>
              </w:rPr>
              <w:t xml:space="preserve"> </w:t>
            </w:r>
            <w:r w:rsidRPr="00AA57DA">
              <w:rPr>
                <w:rFonts w:ascii="Calibri" w:hAnsi="Calibri" w:cs="Calibri"/>
                <w:i w:val="0"/>
                <w:color w:val="000000"/>
              </w:rPr>
              <w:t xml:space="preserve">- Under Rule 206(4)-7 in the Advisers Act, SEC-registered firms are required to adopt and implement written policies and procedures reasonably designed to prevent violation of the rules and regulations of the Advisers Act.  Please </w:t>
            </w:r>
            <w:r w:rsidR="00210168" w:rsidRPr="00AA57DA">
              <w:rPr>
                <w:rFonts w:ascii="Calibri" w:hAnsi="Calibri" w:cs="Calibri"/>
                <w:i w:val="0"/>
                <w:color w:val="000000"/>
              </w:rPr>
              <w:t xml:space="preserve">see your CRP </w:t>
            </w:r>
            <w:r w:rsidR="00364D1B" w:rsidRPr="00AA57DA">
              <w:rPr>
                <w:rFonts w:ascii="Calibri" w:hAnsi="Calibri" w:cs="Calibri"/>
                <w:i w:val="0"/>
                <w:color w:val="000000"/>
              </w:rPr>
              <w:t>consultant for the 202</w:t>
            </w:r>
            <w:r w:rsidR="00D40F98">
              <w:rPr>
                <w:rFonts w:ascii="Calibri" w:hAnsi="Calibri" w:cs="Calibri"/>
                <w:i w:val="0"/>
                <w:color w:val="000000"/>
              </w:rPr>
              <w:t>2</w:t>
            </w:r>
            <w:r w:rsidRPr="00AA57DA">
              <w:rPr>
                <w:rFonts w:ascii="Calibri" w:hAnsi="Calibri" w:cs="Calibri"/>
                <w:i w:val="0"/>
                <w:color w:val="000000"/>
              </w:rPr>
              <w:t xml:space="preserve"> Annual Compliance Review template for your Firm.</w:t>
            </w:r>
            <w:r w:rsidRPr="00AA57DA">
              <w:rPr>
                <w:rFonts w:ascii="Calibri" w:hAnsi="Calibri" w:cs="Calibri"/>
                <w:color w:val="000000"/>
              </w:rPr>
              <w:t xml:space="preserve"> Annually</w:t>
            </w:r>
          </w:p>
        </w:tc>
        <w:sdt>
          <w:sdtPr>
            <w:rPr>
              <w:rFonts w:ascii="Century Gothic" w:hAnsi="Century Gothic"/>
              <w:i w:val="0"/>
              <w:sz w:val="21"/>
              <w:szCs w:val="21"/>
            </w:rPr>
            <w:id w:val="-1538575893"/>
            <w15:appearance w15:val="hidden"/>
            <w14:checkbox>
              <w14:checked w14:val="0"/>
              <w14:checkedState w14:val="2612" w14:font="MS Gothic"/>
              <w14:uncheckedState w14:val="2610" w14:font="MS Gothic"/>
            </w14:checkbox>
          </w:sdtPr>
          <w:sdtEndPr/>
          <w:sdtContent>
            <w:tc>
              <w:tcPr>
                <w:tcW w:w="416"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7C66542" w14:textId="694655B0" w:rsidR="003B1BAE" w:rsidRDefault="00FF1C5C" w:rsidP="003B1BAE">
                <w:pPr>
                  <w:pStyle w:val="table"/>
                  <w:spacing w:beforeLines="60" w:before="144" w:afterLines="60" w:after="144"/>
                  <w:rPr>
                    <w:rFonts w:ascii="Century Gothic" w:hAnsi="Century Gothic"/>
                    <w:i w:val="0"/>
                    <w:sz w:val="21"/>
                    <w:szCs w:val="21"/>
                  </w:rPr>
                </w:pPr>
                <w:r>
                  <w:rPr>
                    <w:rFonts w:ascii="MS Gothic" w:eastAsia="MS Gothic" w:hAnsi="MS Gothic" w:hint="eastAsia"/>
                    <w:i w:val="0"/>
                    <w:sz w:val="21"/>
                    <w:szCs w:val="21"/>
                  </w:rPr>
                  <w:t>☐</w:t>
                </w:r>
              </w:p>
            </w:tc>
          </w:sdtContent>
        </w:sdt>
        <w:tc>
          <w:tcPr>
            <w:tcW w:w="1491"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2127623B" w14:textId="77777777" w:rsidR="003B1BAE" w:rsidRPr="00426663" w:rsidRDefault="003B1BAE" w:rsidP="003B1BAE">
            <w:pPr>
              <w:pStyle w:val="table"/>
              <w:spacing w:beforeLines="60" w:before="144" w:afterLines="60" w:after="144"/>
              <w:rPr>
                <w:rFonts w:ascii="Century Gothic" w:hAnsi="Century Gothic"/>
                <w:i w:val="0"/>
                <w:sz w:val="21"/>
                <w:szCs w:val="21"/>
              </w:rPr>
            </w:pPr>
          </w:p>
        </w:tc>
        <w:tc>
          <w:tcPr>
            <w:tcW w:w="236" w:type="dxa"/>
            <w:tcBorders>
              <w:top w:val="nil"/>
              <w:left w:val="single" w:sz="4" w:space="0" w:color="999999" w:themeColor="text2" w:themeTint="66"/>
              <w:bottom w:val="nil"/>
              <w:right w:val="nil"/>
            </w:tcBorders>
            <w:vAlign w:val="center"/>
          </w:tcPr>
          <w:p w14:paraId="7EF02F52" w14:textId="77777777" w:rsidR="003B1BAE" w:rsidRPr="00426663" w:rsidRDefault="003B1BAE" w:rsidP="003B1BAE">
            <w:pPr>
              <w:spacing w:beforeLines="60" w:before="144" w:afterLines="60" w:after="144" w:line="240" w:lineRule="auto"/>
              <w:rPr>
                <w:rFonts w:ascii="Century Gothic" w:hAnsi="Century Gothic"/>
                <w:i w:val="0"/>
                <w:sz w:val="21"/>
                <w:szCs w:val="21"/>
              </w:rPr>
            </w:pPr>
          </w:p>
        </w:tc>
        <w:tc>
          <w:tcPr>
            <w:tcW w:w="4163" w:type="dxa"/>
            <w:vMerge/>
            <w:tcBorders>
              <w:top w:val="nil"/>
              <w:left w:val="nil"/>
              <w:bottom w:val="nil"/>
              <w:right w:val="nil"/>
            </w:tcBorders>
            <w:shd w:val="clear" w:color="auto" w:fill="000000" w:themeFill="text1" w:themeFillShade="BF"/>
            <w:vAlign w:val="center"/>
          </w:tcPr>
          <w:p w14:paraId="5F545E57" w14:textId="77777777" w:rsidR="003B1BAE" w:rsidRPr="00426663" w:rsidRDefault="003B1BAE" w:rsidP="003B1BAE">
            <w:pPr>
              <w:spacing w:beforeLines="60" w:before="144" w:afterLines="60" w:after="144" w:line="240" w:lineRule="auto"/>
              <w:rPr>
                <w:rFonts w:ascii="Century Gothic" w:hAnsi="Century Gothic"/>
                <w:i w:val="0"/>
                <w:color w:val="FFFFFF" w:themeColor="background1"/>
                <w:sz w:val="21"/>
                <w:szCs w:val="21"/>
              </w:rPr>
            </w:pPr>
          </w:p>
        </w:tc>
      </w:tr>
      <w:tr w:rsidR="000E2560" w:rsidRPr="00426663" w14:paraId="5CA28BDE" w14:textId="77777777" w:rsidTr="00AA5EFB">
        <w:trPr>
          <w:trHeight w:val="720"/>
        </w:trPr>
        <w:tc>
          <w:tcPr>
            <w:tcW w:w="8095" w:type="dxa"/>
            <w:tcBorders>
              <w:top w:val="single" w:sz="4" w:space="0" w:color="8EA9DB"/>
              <w:left w:val="single" w:sz="4" w:space="0" w:color="8EA9DB"/>
              <w:bottom w:val="single" w:sz="4" w:space="0" w:color="8EA9DB"/>
              <w:right w:val="nil"/>
            </w:tcBorders>
            <w:shd w:val="clear" w:color="auto" w:fill="CDDEFF"/>
            <w:vAlign w:val="bottom"/>
          </w:tcPr>
          <w:p w14:paraId="6784D1F1" w14:textId="40443F4B" w:rsidR="000E2560" w:rsidRPr="00AA57DA" w:rsidRDefault="000E2560" w:rsidP="003B1BAE">
            <w:pPr>
              <w:pStyle w:val="table"/>
              <w:spacing w:beforeLines="60" w:before="144" w:afterLines="60" w:after="144"/>
              <w:rPr>
                <w:rFonts w:ascii="Calibri" w:hAnsi="Calibri" w:cs="Calibri"/>
                <w:b/>
                <w:i w:val="0"/>
                <w:color w:val="000000"/>
              </w:rPr>
            </w:pPr>
            <w:r w:rsidRPr="00AA57DA">
              <w:rPr>
                <w:rFonts w:ascii="Calibri" w:hAnsi="Calibri" w:cs="Calibri"/>
                <w:b/>
                <w:i w:val="0"/>
                <w:color w:val="000000"/>
              </w:rPr>
              <w:t>Fund IARD renewal account</w:t>
            </w:r>
            <w:r w:rsidRPr="00AA57DA">
              <w:rPr>
                <w:rFonts w:ascii="Calibri" w:hAnsi="Calibri" w:cs="Calibri"/>
                <w:i w:val="0"/>
                <w:color w:val="000000"/>
              </w:rPr>
              <w:t xml:space="preserve"> - Required annually by CCO. </w:t>
            </w:r>
            <w:r w:rsidRPr="00AA57DA">
              <w:rPr>
                <w:rFonts w:ascii="Calibri" w:hAnsi="Calibri" w:cs="Calibri"/>
                <w:color w:val="000000"/>
              </w:rPr>
              <w:t>Annually</w:t>
            </w:r>
          </w:p>
        </w:tc>
        <w:sdt>
          <w:sdtPr>
            <w:rPr>
              <w:rFonts w:ascii="Century Gothic" w:hAnsi="Century Gothic"/>
              <w:i w:val="0"/>
              <w:sz w:val="21"/>
              <w:szCs w:val="21"/>
            </w:rPr>
            <w:id w:val="-1619293542"/>
            <w15:appearance w15:val="hidden"/>
            <w14:checkbox>
              <w14:checked w14:val="0"/>
              <w14:checkedState w14:val="2612" w14:font="MS Gothic"/>
              <w14:uncheckedState w14:val="2610" w14:font="MS Gothic"/>
            </w14:checkbox>
          </w:sdtPr>
          <w:sdtEndPr/>
          <w:sdtContent>
            <w:tc>
              <w:tcPr>
                <w:tcW w:w="416"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D76FA0B" w14:textId="44B636DB" w:rsidR="000E2560" w:rsidRDefault="00FF1C5C" w:rsidP="003B1BAE">
                <w:pPr>
                  <w:pStyle w:val="table"/>
                  <w:spacing w:beforeLines="60" w:before="144" w:afterLines="60" w:after="144"/>
                  <w:rPr>
                    <w:rFonts w:ascii="Century Gothic" w:hAnsi="Century Gothic"/>
                    <w:i w:val="0"/>
                    <w:sz w:val="21"/>
                    <w:szCs w:val="21"/>
                  </w:rPr>
                </w:pPr>
                <w:r>
                  <w:rPr>
                    <w:rFonts w:ascii="MS Gothic" w:eastAsia="MS Gothic" w:hAnsi="MS Gothic" w:hint="eastAsia"/>
                    <w:i w:val="0"/>
                    <w:sz w:val="21"/>
                    <w:szCs w:val="21"/>
                  </w:rPr>
                  <w:t>☐</w:t>
                </w:r>
              </w:p>
            </w:tc>
          </w:sdtContent>
        </w:sdt>
        <w:tc>
          <w:tcPr>
            <w:tcW w:w="1491"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8635CA1" w14:textId="77777777" w:rsidR="000E2560" w:rsidRPr="00426663" w:rsidRDefault="000E2560" w:rsidP="003B1BAE">
            <w:pPr>
              <w:pStyle w:val="table"/>
              <w:spacing w:beforeLines="60" w:before="144" w:afterLines="60" w:after="144"/>
              <w:rPr>
                <w:rFonts w:ascii="Century Gothic" w:hAnsi="Century Gothic"/>
                <w:i w:val="0"/>
                <w:sz w:val="21"/>
                <w:szCs w:val="21"/>
              </w:rPr>
            </w:pPr>
          </w:p>
        </w:tc>
        <w:tc>
          <w:tcPr>
            <w:tcW w:w="236" w:type="dxa"/>
            <w:tcBorders>
              <w:top w:val="nil"/>
              <w:left w:val="single" w:sz="4" w:space="0" w:color="999999" w:themeColor="text2" w:themeTint="66"/>
              <w:bottom w:val="nil"/>
              <w:right w:val="nil"/>
            </w:tcBorders>
            <w:vAlign w:val="center"/>
          </w:tcPr>
          <w:p w14:paraId="66E53DDD" w14:textId="77777777" w:rsidR="000E2560" w:rsidRPr="00426663" w:rsidRDefault="000E2560" w:rsidP="003B1BAE">
            <w:pPr>
              <w:spacing w:beforeLines="60" w:before="144" w:afterLines="60" w:after="144" w:line="240" w:lineRule="auto"/>
              <w:rPr>
                <w:rFonts w:ascii="Century Gothic" w:hAnsi="Century Gothic"/>
                <w:i w:val="0"/>
                <w:sz w:val="21"/>
                <w:szCs w:val="21"/>
              </w:rPr>
            </w:pPr>
          </w:p>
        </w:tc>
        <w:tc>
          <w:tcPr>
            <w:tcW w:w="4163" w:type="dxa"/>
            <w:vMerge/>
            <w:tcBorders>
              <w:top w:val="nil"/>
              <w:left w:val="nil"/>
              <w:bottom w:val="nil"/>
              <w:right w:val="nil"/>
            </w:tcBorders>
            <w:shd w:val="clear" w:color="auto" w:fill="000000" w:themeFill="text1" w:themeFillShade="BF"/>
            <w:vAlign w:val="center"/>
          </w:tcPr>
          <w:p w14:paraId="03833C07" w14:textId="77777777" w:rsidR="000E2560" w:rsidRPr="00426663" w:rsidRDefault="000E2560" w:rsidP="003B1BAE">
            <w:pPr>
              <w:spacing w:beforeLines="60" w:before="144" w:afterLines="60" w:after="144" w:line="240" w:lineRule="auto"/>
              <w:rPr>
                <w:rFonts w:ascii="Century Gothic" w:hAnsi="Century Gothic"/>
                <w:i w:val="0"/>
                <w:color w:val="FFFFFF" w:themeColor="background1"/>
                <w:sz w:val="21"/>
                <w:szCs w:val="21"/>
              </w:rPr>
            </w:pPr>
          </w:p>
        </w:tc>
      </w:tr>
      <w:tr w:rsidR="00E24278" w:rsidRPr="00426663" w14:paraId="0C72151B" w14:textId="77777777" w:rsidTr="00210168">
        <w:trPr>
          <w:trHeight w:val="720"/>
        </w:trPr>
        <w:tc>
          <w:tcPr>
            <w:tcW w:w="8095" w:type="dxa"/>
            <w:tcBorders>
              <w:top w:val="single" w:sz="4" w:space="0" w:color="8EA9DB"/>
              <w:left w:val="single" w:sz="4" w:space="0" w:color="8EA9DB"/>
              <w:bottom w:val="single" w:sz="4" w:space="0" w:color="8EA9DB"/>
              <w:right w:val="nil"/>
            </w:tcBorders>
            <w:shd w:val="clear" w:color="auto" w:fill="auto"/>
            <w:vAlign w:val="bottom"/>
          </w:tcPr>
          <w:p w14:paraId="54BB8741" w14:textId="5B43DD2B" w:rsidR="00E24278" w:rsidRPr="00AA57DA" w:rsidRDefault="0086356E" w:rsidP="003B1BAE">
            <w:pPr>
              <w:pStyle w:val="table"/>
              <w:spacing w:beforeLines="60" w:before="144" w:afterLines="60" w:after="144"/>
              <w:rPr>
                <w:rFonts w:ascii="Calibri" w:hAnsi="Calibri" w:cs="Calibri"/>
                <w:b/>
                <w:i w:val="0"/>
                <w:color w:val="000000"/>
              </w:rPr>
            </w:pPr>
            <w:r w:rsidRPr="00AA57DA">
              <w:rPr>
                <w:rFonts w:ascii="Calibri" w:hAnsi="Calibri" w:cs="Calibri"/>
                <w:b/>
                <w:i w:val="0"/>
                <w:color w:val="000000"/>
              </w:rPr>
              <w:t xml:space="preserve">Annual Standing Letters of Authorization (SLOA) Review - </w:t>
            </w:r>
            <w:r w:rsidR="00E24278" w:rsidRPr="00AA57DA">
              <w:rPr>
                <w:rFonts w:ascii="Calibri" w:hAnsi="Calibri" w:cs="Calibri"/>
                <w:bCs/>
                <w:i w:val="0"/>
                <w:color w:val="000000"/>
              </w:rPr>
              <w:t>Request active SLOA report from your custodian.  Determine the number of accounts and the value of the account as preparation for the Part 1 annual amendment.</w:t>
            </w:r>
            <w:r w:rsidRPr="00AA57DA">
              <w:rPr>
                <w:rFonts w:ascii="Calibri" w:hAnsi="Calibri" w:cs="Calibri"/>
                <w:bCs/>
                <w:i w:val="0"/>
                <w:color w:val="000000"/>
              </w:rPr>
              <w:t xml:space="preserve"> </w:t>
            </w:r>
            <w:r w:rsidRPr="00AA57DA">
              <w:rPr>
                <w:rFonts w:ascii="Calibri" w:hAnsi="Calibri" w:cs="Calibri"/>
                <w:bCs/>
                <w:iCs w:val="0"/>
                <w:color w:val="000000"/>
              </w:rPr>
              <w:t>Annually</w:t>
            </w:r>
          </w:p>
        </w:tc>
        <w:sdt>
          <w:sdtPr>
            <w:rPr>
              <w:rFonts w:ascii="Century Gothic" w:hAnsi="Century Gothic"/>
              <w:i w:val="0"/>
              <w:sz w:val="21"/>
              <w:szCs w:val="21"/>
            </w:rPr>
            <w:id w:val="-1912457927"/>
            <w15:appearance w15:val="hidden"/>
            <w14:checkbox>
              <w14:checked w14:val="0"/>
              <w14:checkedState w14:val="2612" w14:font="MS Gothic"/>
              <w14:uncheckedState w14:val="2610" w14:font="MS Gothic"/>
            </w14:checkbox>
          </w:sdtPr>
          <w:sdtEndPr/>
          <w:sdtContent>
            <w:tc>
              <w:tcPr>
                <w:tcW w:w="416"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940B8EE" w14:textId="172B9CA2" w:rsidR="00E24278" w:rsidRDefault="00FF1C5C" w:rsidP="003B1BAE">
                <w:pPr>
                  <w:pStyle w:val="table"/>
                  <w:spacing w:beforeLines="60" w:before="144" w:afterLines="60" w:after="144"/>
                  <w:rPr>
                    <w:rFonts w:ascii="Century Gothic" w:hAnsi="Century Gothic"/>
                    <w:i w:val="0"/>
                    <w:sz w:val="21"/>
                    <w:szCs w:val="21"/>
                  </w:rPr>
                </w:pPr>
                <w:r>
                  <w:rPr>
                    <w:rFonts w:ascii="MS Gothic" w:eastAsia="MS Gothic" w:hAnsi="MS Gothic" w:hint="eastAsia"/>
                    <w:i w:val="0"/>
                    <w:sz w:val="21"/>
                    <w:szCs w:val="21"/>
                  </w:rPr>
                  <w:t>☐</w:t>
                </w:r>
              </w:p>
            </w:tc>
          </w:sdtContent>
        </w:sdt>
        <w:tc>
          <w:tcPr>
            <w:tcW w:w="1491"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3036705" w14:textId="77777777" w:rsidR="00E24278" w:rsidRPr="00426663" w:rsidRDefault="00E24278" w:rsidP="003B1BAE">
            <w:pPr>
              <w:pStyle w:val="table"/>
              <w:spacing w:beforeLines="60" w:before="144" w:afterLines="60" w:after="144"/>
              <w:rPr>
                <w:rFonts w:ascii="Century Gothic" w:hAnsi="Century Gothic"/>
                <w:i w:val="0"/>
                <w:sz w:val="21"/>
                <w:szCs w:val="21"/>
              </w:rPr>
            </w:pPr>
          </w:p>
        </w:tc>
        <w:tc>
          <w:tcPr>
            <w:tcW w:w="236" w:type="dxa"/>
            <w:tcBorders>
              <w:top w:val="nil"/>
              <w:left w:val="single" w:sz="4" w:space="0" w:color="999999" w:themeColor="text2" w:themeTint="66"/>
              <w:bottom w:val="nil"/>
              <w:right w:val="nil"/>
            </w:tcBorders>
            <w:vAlign w:val="center"/>
          </w:tcPr>
          <w:p w14:paraId="3493D527" w14:textId="77777777" w:rsidR="00E24278" w:rsidRPr="00426663" w:rsidRDefault="00E24278" w:rsidP="003B1BAE">
            <w:pPr>
              <w:spacing w:beforeLines="60" w:before="144" w:afterLines="60" w:after="144" w:line="240" w:lineRule="auto"/>
              <w:rPr>
                <w:rFonts w:ascii="Century Gothic" w:hAnsi="Century Gothic"/>
                <w:i w:val="0"/>
                <w:sz w:val="21"/>
                <w:szCs w:val="21"/>
              </w:rPr>
            </w:pPr>
          </w:p>
        </w:tc>
        <w:tc>
          <w:tcPr>
            <w:tcW w:w="4163" w:type="dxa"/>
            <w:vMerge/>
            <w:tcBorders>
              <w:top w:val="nil"/>
              <w:left w:val="nil"/>
              <w:bottom w:val="nil"/>
              <w:right w:val="nil"/>
            </w:tcBorders>
            <w:shd w:val="clear" w:color="auto" w:fill="000000" w:themeFill="text1" w:themeFillShade="BF"/>
            <w:vAlign w:val="center"/>
          </w:tcPr>
          <w:p w14:paraId="266504B3" w14:textId="77777777" w:rsidR="00E24278" w:rsidRPr="00426663" w:rsidRDefault="00E24278" w:rsidP="003B1BAE">
            <w:pPr>
              <w:spacing w:beforeLines="60" w:before="144" w:afterLines="60" w:after="144" w:line="240" w:lineRule="auto"/>
              <w:rPr>
                <w:rFonts w:ascii="Century Gothic" w:hAnsi="Century Gothic"/>
                <w:i w:val="0"/>
                <w:color w:val="FFFFFF" w:themeColor="background1"/>
                <w:sz w:val="21"/>
                <w:szCs w:val="21"/>
              </w:rPr>
            </w:pPr>
          </w:p>
        </w:tc>
      </w:tr>
      <w:tr w:rsidR="00970906" w:rsidRPr="00426663" w14:paraId="180AA202" w14:textId="77777777" w:rsidTr="00AA5EFB">
        <w:trPr>
          <w:trHeight w:val="720"/>
        </w:trPr>
        <w:tc>
          <w:tcPr>
            <w:tcW w:w="8095" w:type="dxa"/>
            <w:tcBorders>
              <w:top w:val="single" w:sz="4" w:space="0" w:color="8EA9DB"/>
              <w:left w:val="single" w:sz="4" w:space="0" w:color="8EA9DB"/>
              <w:bottom w:val="single" w:sz="4" w:space="0" w:color="8EA9DB"/>
              <w:right w:val="nil"/>
            </w:tcBorders>
            <w:shd w:val="clear" w:color="auto" w:fill="CDDEFF"/>
            <w:vAlign w:val="bottom"/>
          </w:tcPr>
          <w:p w14:paraId="0A76ABFE" w14:textId="79E99F7D" w:rsidR="00970906" w:rsidRPr="00AA57DA" w:rsidRDefault="00970906" w:rsidP="00970906">
            <w:pPr>
              <w:pStyle w:val="table"/>
              <w:spacing w:beforeLines="60" w:before="144" w:afterLines="60" w:after="144"/>
              <w:rPr>
                <w:rFonts w:ascii="Calibri" w:hAnsi="Calibri" w:cs="Calibri"/>
                <w:b/>
                <w:i w:val="0"/>
                <w:color w:val="000000"/>
              </w:rPr>
            </w:pPr>
            <w:r w:rsidRPr="00AA57DA">
              <w:rPr>
                <w:rFonts w:ascii="Calibri" w:hAnsi="Calibri" w:cs="Calibri"/>
                <w:b/>
                <w:i w:val="0"/>
                <w:color w:val="000000"/>
              </w:rPr>
              <w:t xml:space="preserve">Client Annual Review Certification </w:t>
            </w:r>
            <w:r w:rsidRPr="00AA57DA">
              <w:rPr>
                <w:rFonts w:ascii="Calibri" w:hAnsi="Calibri" w:cs="Calibri"/>
                <w:i w:val="0"/>
                <w:color w:val="000000"/>
              </w:rPr>
              <w:t>-</w:t>
            </w:r>
            <w:r w:rsidRPr="00AA57DA">
              <w:rPr>
                <w:rFonts w:ascii="Calibri" w:hAnsi="Calibri" w:cs="Calibri"/>
                <w:i w:val="0"/>
                <w:iCs w:val="0"/>
                <w:color w:val="000000"/>
              </w:rPr>
              <w:t xml:space="preserve"> </w:t>
            </w:r>
            <w:r w:rsidRPr="00AA57DA">
              <w:rPr>
                <w:rFonts w:ascii="Calibri" w:hAnsi="Calibri" w:cs="Calibri"/>
                <w:i w:val="0"/>
                <w:color w:val="000000"/>
              </w:rPr>
              <w:t>Update client investment objectives, risk tolerance &amp; profile</w:t>
            </w:r>
            <w:r w:rsidR="00D40F98">
              <w:rPr>
                <w:rFonts w:ascii="Calibri" w:hAnsi="Calibri" w:cs="Calibri"/>
                <w:i w:val="0"/>
                <w:color w:val="000000"/>
              </w:rPr>
              <w:t>.</w:t>
            </w:r>
            <w:r w:rsidRPr="00AA57DA">
              <w:rPr>
                <w:rFonts w:ascii="Calibri" w:hAnsi="Calibri" w:cs="Calibri"/>
                <w:i w:val="0"/>
                <w:color w:val="000000"/>
              </w:rPr>
              <w:t xml:space="preserve"> See CRP template. </w:t>
            </w:r>
            <w:r w:rsidRPr="00AA57DA">
              <w:rPr>
                <w:rFonts w:ascii="Calibri" w:hAnsi="Calibri" w:cs="Calibri"/>
                <w:color w:val="000000"/>
              </w:rPr>
              <w:t>Annually</w:t>
            </w:r>
          </w:p>
        </w:tc>
        <w:sdt>
          <w:sdtPr>
            <w:rPr>
              <w:rFonts w:ascii="Century Gothic" w:hAnsi="Century Gothic"/>
              <w:i w:val="0"/>
              <w:sz w:val="21"/>
              <w:szCs w:val="21"/>
            </w:rPr>
            <w:id w:val="839426327"/>
            <w15:appearance w15:val="hidden"/>
            <w14:checkbox>
              <w14:checked w14:val="0"/>
              <w14:checkedState w14:val="2612" w14:font="MS Gothic"/>
              <w14:uncheckedState w14:val="2610" w14:font="MS Gothic"/>
            </w14:checkbox>
          </w:sdtPr>
          <w:sdtEndPr/>
          <w:sdtContent>
            <w:tc>
              <w:tcPr>
                <w:tcW w:w="416"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5B0E9CC" w14:textId="22B7458D" w:rsidR="00970906" w:rsidRDefault="00FF1C5C" w:rsidP="00970906">
                <w:pPr>
                  <w:pStyle w:val="table"/>
                  <w:spacing w:beforeLines="60" w:before="144" w:afterLines="60" w:after="144"/>
                  <w:rPr>
                    <w:rFonts w:ascii="Century Gothic" w:hAnsi="Century Gothic"/>
                    <w:i w:val="0"/>
                    <w:sz w:val="21"/>
                    <w:szCs w:val="21"/>
                  </w:rPr>
                </w:pPr>
                <w:r>
                  <w:rPr>
                    <w:rFonts w:ascii="MS Gothic" w:eastAsia="MS Gothic" w:hAnsi="MS Gothic" w:hint="eastAsia"/>
                    <w:i w:val="0"/>
                    <w:sz w:val="21"/>
                    <w:szCs w:val="21"/>
                  </w:rPr>
                  <w:t>☐</w:t>
                </w:r>
              </w:p>
            </w:tc>
          </w:sdtContent>
        </w:sdt>
        <w:tc>
          <w:tcPr>
            <w:tcW w:w="1491"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F05E543" w14:textId="77777777" w:rsidR="00970906" w:rsidRPr="00426663" w:rsidRDefault="00970906" w:rsidP="00970906">
            <w:pPr>
              <w:pStyle w:val="table"/>
              <w:spacing w:beforeLines="60" w:before="144" w:afterLines="60" w:after="144"/>
              <w:rPr>
                <w:rFonts w:ascii="Century Gothic" w:hAnsi="Century Gothic"/>
                <w:i w:val="0"/>
                <w:sz w:val="21"/>
                <w:szCs w:val="21"/>
              </w:rPr>
            </w:pPr>
          </w:p>
        </w:tc>
        <w:tc>
          <w:tcPr>
            <w:tcW w:w="236" w:type="dxa"/>
            <w:tcBorders>
              <w:top w:val="nil"/>
              <w:left w:val="single" w:sz="4" w:space="0" w:color="999999" w:themeColor="text2" w:themeTint="66"/>
              <w:bottom w:val="nil"/>
              <w:right w:val="nil"/>
            </w:tcBorders>
            <w:vAlign w:val="center"/>
          </w:tcPr>
          <w:p w14:paraId="50393758" w14:textId="77777777" w:rsidR="00970906" w:rsidRPr="00426663" w:rsidRDefault="00970906" w:rsidP="00970906">
            <w:pPr>
              <w:spacing w:beforeLines="60" w:before="144" w:afterLines="60" w:after="144" w:line="240" w:lineRule="auto"/>
              <w:rPr>
                <w:rFonts w:ascii="Century Gothic" w:hAnsi="Century Gothic"/>
                <w:i w:val="0"/>
                <w:sz w:val="21"/>
                <w:szCs w:val="21"/>
              </w:rPr>
            </w:pPr>
          </w:p>
        </w:tc>
        <w:tc>
          <w:tcPr>
            <w:tcW w:w="4163" w:type="dxa"/>
            <w:vMerge/>
            <w:tcBorders>
              <w:top w:val="nil"/>
              <w:left w:val="nil"/>
              <w:bottom w:val="nil"/>
              <w:right w:val="nil"/>
            </w:tcBorders>
            <w:shd w:val="clear" w:color="auto" w:fill="000000" w:themeFill="text1" w:themeFillShade="BF"/>
            <w:vAlign w:val="center"/>
          </w:tcPr>
          <w:p w14:paraId="3E0D1C7C" w14:textId="77777777" w:rsidR="00970906" w:rsidRPr="00426663" w:rsidRDefault="00970906" w:rsidP="00970906">
            <w:pPr>
              <w:spacing w:beforeLines="60" w:before="144" w:afterLines="60" w:after="144" w:line="240" w:lineRule="auto"/>
              <w:rPr>
                <w:rFonts w:ascii="Century Gothic" w:hAnsi="Century Gothic"/>
                <w:i w:val="0"/>
                <w:color w:val="FFFFFF" w:themeColor="background1"/>
                <w:sz w:val="21"/>
                <w:szCs w:val="21"/>
              </w:rPr>
            </w:pPr>
          </w:p>
        </w:tc>
      </w:tr>
      <w:tr w:rsidR="00187A03" w:rsidRPr="00426663" w14:paraId="255CEBA3" w14:textId="77777777" w:rsidTr="00210168">
        <w:trPr>
          <w:trHeight w:val="720"/>
        </w:trPr>
        <w:tc>
          <w:tcPr>
            <w:tcW w:w="8095" w:type="dxa"/>
            <w:tcBorders>
              <w:top w:val="single" w:sz="4" w:space="0" w:color="8EA9DB"/>
              <w:left w:val="single" w:sz="4" w:space="0" w:color="8EA9DB"/>
              <w:bottom w:val="single" w:sz="4" w:space="0" w:color="8EA9DB"/>
              <w:right w:val="nil"/>
            </w:tcBorders>
            <w:shd w:val="clear" w:color="auto" w:fill="auto"/>
            <w:vAlign w:val="bottom"/>
          </w:tcPr>
          <w:p w14:paraId="4BE0DC43" w14:textId="5D09A18C" w:rsidR="00187A03" w:rsidRPr="00AA57DA" w:rsidRDefault="00187A03" w:rsidP="00187A03">
            <w:pPr>
              <w:pStyle w:val="table"/>
              <w:spacing w:beforeLines="60" w:before="144" w:afterLines="60" w:after="144"/>
              <w:rPr>
                <w:rFonts w:ascii="Calibri" w:hAnsi="Calibri" w:cs="Calibri"/>
                <w:b/>
                <w:i w:val="0"/>
                <w:color w:val="000000"/>
              </w:rPr>
            </w:pPr>
            <w:r w:rsidRPr="00AA57DA">
              <w:rPr>
                <w:rFonts w:ascii="Calibri" w:hAnsi="Calibri" w:cs="Calibri"/>
                <w:b/>
                <w:i w:val="0"/>
                <w:color w:val="000000"/>
              </w:rPr>
              <w:t>Review Business Continuity Plan and Update Critical Business Vendor Information</w:t>
            </w:r>
            <w:r w:rsidRPr="00AA57DA">
              <w:rPr>
                <w:rFonts w:ascii="Calibri" w:hAnsi="Calibri" w:cs="Calibri"/>
                <w:b/>
                <w:bCs/>
                <w:i w:val="0"/>
                <w:iCs w:val="0"/>
                <w:color w:val="000000"/>
              </w:rPr>
              <w:t xml:space="preserve"> </w:t>
            </w:r>
            <w:r w:rsidRPr="00AA57DA">
              <w:rPr>
                <w:rFonts w:ascii="Calibri" w:hAnsi="Calibri" w:cs="Calibri"/>
                <w:i w:val="0"/>
                <w:color w:val="000000"/>
              </w:rPr>
              <w:t xml:space="preserve">- Ensure all information on the firm's business continuity plan is current and accurate.  For critical business vendors, be sure to include their name, service and/or product, address and phone number along with any alternative supplier names and contact information. </w:t>
            </w:r>
            <w:r w:rsidRPr="00AA57DA">
              <w:rPr>
                <w:rFonts w:ascii="Calibri" w:hAnsi="Calibri" w:cs="Calibri"/>
                <w:color w:val="000000"/>
              </w:rPr>
              <w:t>Annually</w:t>
            </w:r>
          </w:p>
        </w:tc>
        <w:sdt>
          <w:sdtPr>
            <w:rPr>
              <w:rFonts w:ascii="Century Gothic" w:hAnsi="Century Gothic"/>
              <w:i w:val="0"/>
              <w:sz w:val="21"/>
              <w:szCs w:val="21"/>
            </w:rPr>
            <w:id w:val="-1352714039"/>
            <w15:appearance w15:val="hidden"/>
            <w14:checkbox>
              <w14:checked w14:val="0"/>
              <w14:checkedState w14:val="2612" w14:font="MS Gothic"/>
              <w14:uncheckedState w14:val="2610" w14:font="MS Gothic"/>
            </w14:checkbox>
          </w:sdtPr>
          <w:sdtEndPr/>
          <w:sdtContent>
            <w:tc>
              <w:tcPr>
                <w:tcW w:w="416"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C6EDFB1" w14:textId="1EEDF075" w:rsidR="00187A03" w:rsidRDefault="00FF1C5C" w:rsidP="00187A03">
                <w:pPr>
                  <w:pStyle w:val="table"/>
                  <w:spacing w:beforeLines="60" w:before="144" w:afterLines="60" w:after="144"/>
                  <w:rPr>
                    <w:rFonts w:ascii="Century Gothic" w:hAnsi="Century Gothic"/>
                    <w:i w:val="0"/>
                    <w:sz w:val="21"/>
                    <w:szCs w:val="21"/>
                  </w:rPr>
                </w:pPr>
                <w:r>
                  <w:rPr>
                    <w:rFonts w:ascii="MS Gothic" w:eastAsia="MS Gothic" w:hAnsi="MS Gothic" w:hint="eastAsia"/>
                    <w:i w:val="0"/>
                    <w:sz w:val="21"/>
                    <w:szCs w:val="21"/>
                  </w:rPr>
                  <w:t>☐</w:t>
                </w:r>
              </w:p>
            </w:tc>
          </w:sdtContent>
        </w:sdt>
        <w:tc>
          <w:tcPr>
            <w:tcW w:w="1491"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4884B9E" w14:textId="77777777" w:rsidR="00187A03" w:rsidRPr="00426663" w:rsidRDefault="00187A03" w:rsidP="00187A03">
            <w:pPr>
              <w:pStyle w:val="table"/>
              <w:spacing w:beforeLines="60" w:before="144" w:afterLines="60" w:after="144"/>
              <w:rPr>
                <w:rFonts w:ascii="Century Gothic" w:hAnsi="Century Gothic"/>
                <w:i w:val="0"/>
                <w:sz w:val="21"/>
                <w:szCs w:val="21"/>
              </w:rPr>
            </w:pPr>
          </w:p>
        </w:tc>
        <w:tc>
          <w:tcPr>
            <w:tcW w:w="236" w:type="dxa"/>
            <w:tcBorders>
              <w:top w:val="nil"/>
              <w:left w:val="single" w:sz="4" w:space="0" w:color="999999" w:themeColor="text2" w:themeTint="66"/>
              <w:bottom w:val="nil"/>
              <w:right w:val="nil"/>
            </w:tcBorders>
            <w:vAlign w:val="center"/>
          </w:tcPr>
          <w:p w14:paraId="4BC9965C" w14:textId="77777777" w:rsidR="00187A03" w:rsidRPr="00426663" w:rsidRDefault="00187A03" w:rsidP="00187A03">
            <w:pPr>
              <w:spacing w:beforeLines="60" w:before="144" w:afterLines="60" w:after="144" w:line="240" w:lineRule="auto"/>
              <w:rPr>
                <w:rFonts w:ascii="Century Gothic" w:hAnsi="Century Gothic"/>
                <w:i w:val="0"/>
                <w:sz w:val="21"/>
                <w:szCs w:val="21"/>
              </w:rPr>
            </w:pPr>
          </w:p>
        </w:tc>
        <w:tc>
          <w:tcPr>
            <w:tcW w:w="4163" w:type="dxa"/>
            <w:vMerge/>
            <w:tcBorders>
              <w:top w:val="nil"/>
              <w:left w:val="nil"/>
              <w:bottom w:val="nil"/>
              <w:right w:val="nil"/>
            </w:tcBorders>
            <w:shd w:val="clear" w:color="auto" w:fill="000000" w:themeFill="text1" w:themeFillShade="BF"/>
            <w:vAlign w:val="center"/>
          </w:tcPr>
          <w:p w14:paraId="0F9A1679" w14:textId="77777777" w:rsidR="00187A03" w:rsidRPr="00426663" w:rsidRDefault="00187A03" w:rsidP="00187A03">
            <w:pPr>
              <w:spacing w:beforeLines="60" w:before="144" w:afterLines="60" w:after="144" w:line="240" w:lineRule="auto"/>
              <w:rPr>
                <w:rFonts w:ascii="Century Gothic" w:hAnsi="Century Gothic"/>
                <w:i w:val="0"/>
                <w:color w:val="FFFFFF" w:themeColor="background1"/>
                <w:sz w:val="21"/>
                <w:szCs w:val="21"/>
              </w:rPr>
            </w:pPr>
          </w:p>
        </w:tc>
      </w:tr>
      <w:tr w:rsidR="00187A03" w:rsidRPr="00426663" w14:paraId="0BA62212" w14:textId="77777777" w:rsidTr="00AA5EFB">
        <w:trPr>
          <w:trHeight w:val="720"/>
        </w:trPr>
        <w:tc>
          <w:tcPr>
            <w:tcW w:w="8095" w:type="dxa"/>
            <w:tcBorders>
              <w:top w:val="single" w:sz="4" w:space="0" w:color="8EA9DB"/>
              <w:left w:val="single" w:sz="4" w:space="0" w:color="8EA9DB"/>
              <w:bottom w:val="single" w:sz="4" w:space="0" w:color="8EA9DB"/>
              <w:right w:val="nil"/>
            </w:tcBorders>
            <w:shd w:val="clear" w:color="auto" w:fill="CDDEFF"/>
            <w:vAlign w:val="bottom"/>
          </w:tcPr>
          <w:p w14:paraId="2FC59488" w14:textId="3E6DBB4C" w:rsidR="00187A03" w:rsidRPr="00AA57DA" w:rsidRDefault="00187A03" w:rsidP="00187A03">
            <w:pPr>
              <w:pStyle w:val="table"/>
              <w:spacing w:beforeLines="60" w:before="144" w:afterLines="60" w:after="144"/>
              <w:rPr>
                <w:rFonts w:ascii="Calibri" w:hAnsi="Calibri" w:cs="Calibri"/>
                <w:b/>
                <w:i w:val="0"/>
                <w:color w:val="000000"/>
              </w:rPr>
            </w:pPr>
            <w:r w:rsidRPr="00AA57DA">
              <w:rPr>
                <w:rFonts w:ascii="Calibri" w:hAnsi="Calibri" w:cs="Calibri"/>
                <w:b/>
                <w:i w:val="0"/>
                <w:color w:val="000000"/>
              </w:rPr>
              <w:t>Mutual Fund Share Class Review</w:t>
            </w:r>
            <w:r w:rsidRPr="00AA57DA">
              <w:rPr>
                <w:rFonts w:ascii="Calibri" w:hAnsi="Calibri" w:cs="Calibri"/>
                <w:b/>
                <w:bCs/>
                <w:i w:val="0"/>
                <w:iCs w:val="0"/>
                <w:color w:val="000000"/>
              </w:rPr>
              <w:t xml:space="preserve"> </w:t>
            </w:r>
            <w:proofErr w:type="gramStart"/>
            <w:r w:rsidRPr="00AA57DA">
              <w:rPr>
                <w:rFonts w:ascii="Calibri" w:hAnsi="Calibri" w:cs="Calibri"/>
                <w:i w:val="0"/>
                <w:color w:val="000000"/>
              </w:rPr>
              <w:t xml:space="preserve">- </w:t>
            </w:r>
            <w:r w:rsidR="00AF37F2" w:rsidRPr="00AF37F2">
              <w:rPr>
                <w:rFonts w:ascii="Calibri" w:hAnsi="Calibri" w:cs="Calibri"/>
                <w:i w:val="0"/>
                <w:color w:val="000000"/>
              </w:rPr>
              <w:t xml:space="preserve"> Are</w:t>
            </w:r>
            <w:proofErr w:type="gramEnd"/>
            <w:r w:rsidR="00AF37F2" w:rsidRPr="00AF37F2">
              <w:rPr>
                <w:rFonts w:ascii="Calibri" w:hAnsi="Calibri" w:cs="Calibri"/>
                <w:i w:val="0"/>
                <w:color w:val="000000"/>
              </w:rPr>
              <w:t xml:space="preserve"> your firms mutual fund holdings in the lowest available share class?  If not, be sure there is documentation on the rationale for holding the higher share class</w:t>
            </w:r>
            <w:r w:rsidRPr="00AA57DA">
              <w:rPr>
                <w:rFonts w:ascii="Calibri" w:hAnsi="Calibri" w:cs="Calibri"/>
                <w:i w:val="0"/>
                <w:color w:val="000000"/>
              </w:rPr>
              <w:t xml:space="preserve">. </w:t>
            </w:r>
            <w:r w:rsidRPr="00AA57DA">
              <w:rPr>
                <w:rFonts w:ascii="Calibri" w:hAnsi="Calibri" w:cs="Calibri"/>
                <w:color w:val="000000"/>
              </w:rPr>
              <w:t>Quarterly</w:t>
            </w:r>
          </w:p>
        </w:tc>
        <w:sdt>
          <w:sdtPr>
            <w:rPr>
              <w:rFonts w:ascii="Century Gothic" w:hAnsi="Century Gothic"/>
              <w:i w:val="0"/>
              <w:sz w:val="21"/>
              <w:szCs w:val="21"/>
            </w:rPr>
            <w:id w:val="920758580"/>
            <w15:appearance w15:val="hidden"/>
            <w14:checkbox>
              <w14:checked w14:val="0"/>
              <w14:checkedState w14:val="2612" w14:font="MS Gothic"/>
              <w14:uncheckedState w14:val="2610" w14:font="MS Gothic"/>
            </w14:checkbox>
          </w:sdtPr>
          <w:sdtEndPr/>
          <w:sdtContent>
            <w:tc>
              <w:tcPr>
                <w:tcW w:w="416"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9DFF6B4" w14:textId="1B8D7904" w:rsidR="00187A03" w:rsidRDefault="00FF1C5C" w:rsidP="00187A03">
                <w:pPr>
                  <w:pStyle w:val="table"/>
                  <w:spacing w:beforeLines="60" w:before="144" w:afterLines="60" w:after="144"/>
                  <w:rPr>
                    <w:rFonts w:ascii="Century Gothic" w:hAnsi="Century Gothic"/>
                    <w:i w:val="0"/>
                    <w:sz w:val="21"/>
                    <w:szCs w:val="21"/>
                  </w:rPr>
                </w:pPr>
                <w:r>
                  <w:rPr>
                    <w:rFonts w:ascii="MS Gothic" w:eastAsia="MS Gothic" w:hAnsi="MS Gothic" w:hint="eastAsia"/>
                    <w:i w:val="0"/>
                    <w:sz w:val="21"/>
                    <w:szCs w:val="21"/>
                  </w:rPr>
                  <w:t>☐</w:t>
                </w:r>
              </w:p>
            </w:tc>
          </w:sdtContent>
        </w:sdt>
        <w:tc>
          <w:tcPr>
            <w:tcW w:w="1491"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008344E" w14:textId="77777777" w:rsidR="00187A03" w:rsidRPr="00426663" w:rsidRDefault="00187A03" w:rsidP="00187A03">
            <w:pPr>
              <w:pStyle w:val="table"/>
              <w:spacing w:beforeLines="60" w:before="144" w:afterLines="60" w:after="144"/>
              <w:rPr>
                <w:rFonts w:ascii="Century Gothic" w:hAnsi="Century Gothic"/>
                <w:i w:val="0"/>
                <w:sz w:val="21"/>
                <w:szCs w:val="21"/>
              </w:rPr>
            </w:pPr>
          </w:p>
        </w:tc>
        <w:tc>
          <w:tcPr>
            <w:tcW w:w="236" w:type="dxa"/>
            <w:tcBorders>
              <w:top w:val="nil"/>
              <w:left w:val="single" w:sz="4" w:space="0" w:color="999999" w:themeColor="text2" w:themeTint="66"/>
              <w:bottom w:val="nil"/>
              <w:right w:val="nil"/>
            </w:tcBorders>
            <w:vAlign w:val="center"/>
          </w:tcPr>
          <w:p w14:paraId="45CB50CE" w14:textId="77777777" w:rsidR="00187A03" w:rsidRPr="00426663" w:rsidRDefault="00187A03" w:rsidP="00187A03">
            <w:pPr>
              <w:spacing w:beforeLines="60" w:before="144" w:afterLines="60" w:after="144" w:line="240" w:lineRule="auto"/>
              <w:rPr>
                <w:rFonts w:ascii="Century Gothic" w:hAnsi="Century Gothic"/>
                <w:i w:val="0"/>
                <w:sz w:val="21"/>
                <w:szCs w:val="21"/>
              </w:rPr>
            </w:pPr>
          </w:p>
        </w:tc>
        <w:tc>
          <w:tcPr>
            <w:tcW w:w="4163" w:type="dxa"/>
            <w:vMerge/>
            <w:tcBorders>
              <w:top w:val="nil"/>
              <w:left w:val="nil"/>
              <w:bottom w:val="nil"/>
              <w:right w:val="nil"/>
            </w:tcBorders>
            <w:shd w:val="clear" w:color="auto" w:fill="000000" w:themeFill="text1" w:themeFillShade="BF"/>
            <w:vAlign w:val="center"/>
          </w:tcPr>
          <w:p w14:paraId="23E7B8B8" w14:textId="77777777" w:rsidR="00187A03" w:rsidRPr="00426663" w:rsidRDefault="00187A03" w:rsidP="00187A03">
            <w:pPr>
              <w:spacing w:beforeLines="60" w:before="144" w:afterLines="60" w:after="144" w:line="240" w:lineRule="auto"/>
              <w:rPr>
                <w:rFonts w:ascii="Century Gothic" w:hAnsi="Century Gothic"/>
                <w:i w:val="0"/>
                <w:color w:val="FFFFFF" w:themeColor="background1"/>
                <w:sz w:val="21"/>
                <w:szCs w:val="21"/>
              </w:rPr>
            </w:pPr>
          </w:p>
        </w:tc>
      </w:tr>
      <w:tr w:rsidR="00187A03" w:rsidRPr="00426663" w14:paraId="0BEBF662" w14:textId="77777777" w:rsidTr="00210168">
        <w:trPr>
          <w:trHeight w:val="720"/>
        </w:trPr>
        <w:tc>
          <w:tcPr>
            <w:tcW w:w="8095" w:type="dxa"/>
            <w:tcBorders>
              <w:top w:val="single" w:sz="4" w:space="0" w:color="8EA9DB"/>
              <w:left w:val="single" w:sz="4" w:space="0" w:color="8EA9DB"/>
              <w:bottom w:val="single" w:sz="4" w:space="0" w:color="8EA9DB"/>
              <w:right w:val="nil"/>
            </w:tcBorders>
            <w:shd w:val="clear" w:color="auto" w:fill="auto"/>
            <w:vAlign w:val="bottom"/>
          </w:tcPr>
          <w:p w14:paraId="7DAA6A97" w14:textId="7657C7AB" w:rsidR="00187A03" w:rsidRPr="00AA57DA" w:rsidRDefault="00187A03" w:rsidP="00187A03">
            <w:pPr>
              <w:pStyle w:val="table"/>
              <w:spacing w:beforeLines="60" w:before="144" w:afterLines="60" w:after="144"/>
              <w:rPr>
                <w:rFonts w:ascii="Calibri" w:hAnsi="Calibri" w:cs="Calibri"/>
                <w:b/>
                <w:i w:val="0"/>
                <w:color w:val="000000"/>
              </w:rPr>
            </w:pPr>
            <w:r w:rsidRPr="00AA57DA">
              <w:rPr>
                <w:rFonts w:ascii="Calibri" w:hAnsi="Calibri" w:cs="Calibri"/>
                <w:b/>
                <w:i w:val="0"/>
                <w:color w:val="000000"/>
              </w:rPr>
              <w:t>Quarterly Review of States</w:t>
            </w:r>
            <w:r w:rsidRPr="00AA57DA">
              <w:rPr>
                <w:rFonts w:ascii="Calibri" w:hAnsi="Calibri" w:cs="Calibri"/>
                <w:b/>
                <w:bCs/>
                <w:i w:val="0"/>
                <w:iCs w:val="0"/>
                <w:color w:val="000000"/>
              </w:rPr>
              <w:t xml:space="preserve"> </w:t>
            </w:r>
            <w:r w:rsidRPr="00AA57DA">
              <w:rPr>
                <w:rFonts w:ascii="Calibri" w:hAnsi="Calibri" w:cs="Calibri"/>
                <w:i w:val="0"/>
                <w:color w:val="000000"/>
              </w:rPr>
              <w:t xml:space="preserve">- Are you properly notice filed?  You will need to be notice filed in any state where you have more than 5 households.  The exceptions to this rule are the following states: Texas, Louisiana, New Hampshire, and Nebraska.  Each of these states require notice filing when 1 household is present.  Send a list of states that require notice filing to CRP so they can update your ADV accordingly. </w:t>
            </w:r>
            <w:r w:rsidRPr="00AA57DA">
              <w:rPr>
                <w:rFonts w:ascii="Calibri" w:hAnsi="Calibri" w:cs="Calibri"/>
                <w:color w:val="000000"/>
              </w:rPr>
              <w:t>Quarterly</w:t>
            </w:r>
          </w:p>
        </w:tc>
        <w:sdt>
          <w:sdtPr>
            <w:rPr>
              <w:rFonts w:ascii="Century Gothic" w:hAnsi="Century Gothic"/>
              <w:i w:val="0"/>
              <w:sz w:val="21"/>
              <w:szCs w:val="21"/>
            </w:rPr>
            <w:id w:val="724725858"/>
            <w15:appearance w15:val="hidden"/>
            <w14:checkbox>
              <w14:checked w14:val="0"/>
              <w14:checkedState w14:val="2612" w14:font="MS Gothic"/>
              <w14:uncheckedState w14:val="2610" w14:font="MS Gothic"/>
            </w14:checkbox>
          </w:sdtPr>
          <w:sdtEndPr/>
          <w:sdtContent>
            <w:tc>
              <w:tcPr>
                <w:tcW w:w="416"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DC82CA7" w14:textId="26B60074" w:rsidR="00187A03" w:rsidRDefault="00FF1C5C" w:rsidP="00187A03">
                <w:pPr>
                  <w:pStyle w:val="table"/>
                  <w:spacing w:beforeLines="60" w:before="144" w:afterLines="60" w:after="144"/>
                  <w:rPr>
                    <w:rFonts w:ascii="Century Gothic" w:hAnsi="Century Gothic"/>
                    <w:i w:val="0"/>
                    <w:sz w:val="21"/>
                    <w:szCs w:val="21"/>
                  </w:rPr>
                </w:pPr>
                <w:r>
                  <w:rPr>
                    <w:rFonts w:ascii="MS Gothic" w:eastAsia="MS Gothic" w:hAnsi="MS Gothic" w:hint="eastAsia"/>
                    <w:i w:val="0"/>
                    <w:sz w:val="21"/>
                    <w:szCs w:val="21"/>
                  </w:rPr>
                  <w:t>☐</w:t>
                </w:r>
              </w:p>
            </w:tc>
          </w:sdtContent>
        </w:sdt>
        <w:tc>
          <w:tcPr>
            <w:tcW w:w="1491"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365B7A4" w14:textId="77777777" w:rsidR="00187A03" w:rsidRPr="00426663" w:rsidRDefault="00187A03" w:rsidP="00187A03">
            <w:pPr>
              <w:pStyle w:val="table"/>
              <w:spacing w:beforeLines="60" w:before="144" w:afterLines="60" w:after="144"/>
              <w:rPr>
                <w:rFonts w:ascii="Century Gothic" w:hAnsi="Century Gothic"/>
                <w:i w:val="0"/>
                <w:sz w:val="21"/>
                <w:szCs w:val="21"/>
              </w:rPr>
            </w:pPr>
          </w:p>
        </w:tc>
        <w:tc>
          <w:tcPr>
            <w:tcW w:w="236" w:type="dxa"/>
            <w:tcBorders>
              <w:top w:val="nil"/>
              <w:left w:val="single" w:sz="4" w:space="0" w:color="999999" w:themeColor="text2" w:themeTint="66"/>
              <w:bottom w:val="nil"/>
              <w:right w:val="nil"/>
            </w:tcBorders>
            <w:vAlign w:val="center"/>
          </w:tcPr>
          <w:p w14:paraId="0042F888" w14:textId="77777777" w:rsidR="00187A03" w:rsidRPr="00426663" w:rsidRDefault="00187A03" w:rsidP="00187A03">
            <w:pPr>
              <w:spacing w:beforeLines="60" w:before="144" w:afterLines="60" w:after="144" w:line="240" w:lineRule="auto"/>
              <w:rPr>
                <w:rFonts w:ascii="Century Gothic" w:hAnsi="Century Gothic"/>
                <w:i w:val="0"/>
                <w:sz w:val="21"/>
                <w:szCs w:val="21"/>
              </w:rPr>
            </w:pPr>
          </w:p>
        </w:tc>
        <w:tc>
          <w:tcPr>
            <w:tcW w:w="4163" w:type="dxa"/>
            <w:vMerge/>
            <w:tcBorders>
              <w:top w:val="nil"/>
              <w:left w:val="nil"/>
              <w:bottom w:val="nil"/>
              <w:right w:val="nil"/>
            </w:tcBorders>
            <w:shd w:val="clear" w:color="auto" w:fill="000000" w:themeFill="text1" w:themeFillShade="BF"/>
            <w:vAlign w:val="center"/>
          </w:tcPr>
          <w:p w14:paraId="244526BD" w14:textId="77777777" w:rsidR="00187A03" w:rsidRPr="00426663" w:rsidRDefault="00187A03" w:rsidP="00187A03">
            <w:pPr>
              <w:spacing w:beforeLines="60" w:before="144" w:afterLines="60" w:after="144" w:line="240" w:lineRule="auto"/>
              <w:rPr>
                <w:rFonts w:ascii="Century Gothic" w:hAnsi="Century Gothic"/>
                <w:i w:val="0"/>
                <w:color w:val="FFFFFF" w:themeColor="background1"/>
                <w:sz w:val="21"/>
                <w:szCs w:val="21"/>
              </w:rPr>
            </w:pPr>
          </w:p>
        </w:tc>
      </w:tr>
      <w:tr w:rsidR="00187A03" w:rsidRPr="00426663" w14:paraId="606DCF87" w14:textId="77777777" w:rsidTr="00AA5EFB">
        <w:trPr>
          <w:trHeight w:val="720"/>
        </w:trPr>
        <w:tc>
          <w:tcPr>
            <w:tcW w:w="8095" w:type="dxa"/>
            <w:tcBorders>
              <w:top w:val="single" w:sz="4" w:space="0" w:color="8EA9DB"/>
              <w:left w:val="single" w:sz="4" w:space="0" w:color="8EA9DB"/>
              <w:bottom w:val="single" w:sz="4" w:space="0" w:color="8EA9DB"/>
              <w:right w:val="nil"/>
            </w:tcBorders>
            <w:shd w:val="clear" w:color="auto" w:fill="CDDEFF"/>
            <w:vAlign w:val="bottom"/>
          </w:tcPr>
          <w:p w14:paraId="4EF58299" w14:textId="2A6A6A89" w:rsidR="00187A03" w:rsidRPr="00AA57DA" w:rsidRDefault="00187A03" w:rsidP="00187A03">
            <w:pPr>
              <w:pStyle w:val="table"/>
              <w:spacing w:beforeLines="60" w:before="144" w:afterLines="60" w:after="144"/>
              <w:rPr>
                <w:rFonts w:ascii="Calibri" w:hAnsi="Calibri" w:cs="Calibri"/>
                <w:b/>
                <w:i w:val="0"/>
                <w:color w:val="000000"/>
              </w:rPr>
            </w:pPr>
            <w:r w:rsidRPr="00AA57DA">
              <w:rPr>
                <w:rFonts w:ascii="Calibri" w:hAnsi="Calibri" w:cs="Calibri"/>
                <w:b/>
                <w:i w:val="0"/>
                <w:color w:val="000000"/>
              </w:rPr>
              <w:t>Review Cash Balance Report</w:t>
            </w:r>
            <w:r w:rsidRPr="00AA57DA">
              <w:rPr>
                <w:rFonts w:ascii="Calibri" w:hAnsi="Calibri" w:cs="Calibri"/>
                <w:b/>
                <w:bCs/>
                <w:i w:val="0"/>
                <w:iCs w:val="0"/>
                <w:color w:val="000000"/>
              </w:rPr>
              <w:t xml:space="preserve"> </w:t>
            </w:r>
            <w:r w:rsidRPr="00AA57DA">
              <w:rPr>
                <w:rFonts w:ascii="Calibri" w:hAnsi="Calibri" w:cs="Calibri"/>
                <w:i w:val="0"/>
                <w:color w:val="000000"/>
              </w:rPr>
              <w:t xml:space="preserve">- Review cash balance report to determine if there is enough cash for fees or if there is too much cash and funds need to be invested. Be mindful of scheduled distributions. Perform random performance review and take note and action on any abnormal or unusual balances. </w:t>
            </w:r>
            <w:r w:rsidRPr="00AA57DA">
              <w:rPr>
                <w:rFonts w:ascii="Calibri" w:hAnsi="Calibri" w:cs="Calibri"/>
                <w:color w:val="000000"/>
              </w:rPr>
              <w:t>Quarterly</w:t>
            </w:r>
          </w:p>
        </w:tc>
        <w:sdt>
          <w:sdtPr>
            <w:rPr>
              <w:rFonts w:ascii="Century Gothic" w:hAnsi="Century Gothic"/>
              <w:i w:val="0"/>
              <w:sz w:val="21"/>
              <w:szCs w:val="21"/>
            </w:rPr>
            <w:id w:val="695430947"/>
            <w15:appearance w15:val="hidden"/>
            <w14:checkbox>
              <w14:checked w14:val="0"/>
              <w14:checkedState w14:val="2612" w14:font="MS Gothic"/>
              <w14:uncheckedState w14:val="2610" w14:font="MS Gothic"/>
            </w14:checkbox>
          </w:sdtPr>
          <w:sdtEndPr/>
          <w:sdtContent>
            <w:tc>
              <w:tcPr>
                <w:tcW w:w="416"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BA001F2" w14:textId="6481130B" w:rsidR="00187A03" w:rsidRDefault="00FF1C5C" w:rsidP="00187A03">
                <w:pPr>
                  <w:pStyle w:val="table"/>
                  <w:spacing w:beforeLines="60" w:before="144" w:afterLines="60" w:after="144"/>
                  <w:rPr>
                    <w:rFonts w:ascii="Century Gothic" w:hAnsi="Century Gothic"/>
                    <w:i w:val="0"/>
                    <w:sz w:val="21"/>
                    <w:szCs w:val="21"/>
                  </w:rPr>
                </w:pPr>
                <w:r>
                  <w:rPr>
                    <w:rFonts w:ascii="MS Gothic" w:eastAsia="MS Gothic" w:hAnsi="MS Gothic" w:hint="eastAsia"/>
                    <w:i w:val="0"/>
                    <w:sz w:val="21"/>
                    <w:szCs w:val="21"/>
                  </w:rPr>
                  <w:t>☐</w:t>
                </w:r>
              </w:p>
            </w:tc>
          </w:sdtContent>
        </w:sdt>
        <w:tc>
          <w:tcPr>
            <w:tcW w:w="1491"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4777D01" w14:textId="77777777" w:rsidR="00187A03" w:rsidRPr="00426663" w:rsidRDefault="00187A03" w:rsidP="00187A03">
            <w:pPr>
              <w:pStyle w:val="table"/>
              <w:spacing w:beforeLines="60" w:before="144" w:afterLines="60" w:after="144"/>
              <w:rPr>
                <w:rFonts w:ascii="Century Gothic" w:hAnsi="Century Gothic"/>
                <w:i w:val="0"/>
                <w:sz w:val="21"/>
                <w:szCs w:val="21"/>
              </w:rPr>
            </w:pPr>
          </w:p>
        </w:tc>
        <w:tc>
          <w:tcPr>
            <w:tcW w:w="236" w:type="dxa"/>
            <w:tcBorders>
              <w:top w:val="nil"/>
              <w:left w:val="single" w:sz="4" w:space="0" w:color="999999" w:themeColor="text2" w:themeTint="66"/>
              <w:bottom w:val="nil"/>
              <w:right w:val="nil"/>
            </w:tcBorders>
            <w:vAlign w:val="center"/>
          </w:tcPr>
          <w:p w14:paraId="77034BE7" w14:textId="77777777" w:rsidR="00187A03" w:rsidRPr="00426663" w:rsidRDefault="00187A03" w:rsidP="00187A03">
            <w:pPr>
              <w:spacing w:beforeLines="60" w:before="144" w:afterLines="60" w:after="144" w:line="240" w:lineRule="auto"/>
              <w:rPr>
                <w:rFonts w:ascii="Century Gothic" w:hAnsi="Century Gothic"/>
                <w:i w:val="0"/>
                <w:sz w:val="21"/>
                <w:szCs w:val="21"/>
              </w:rPr>
            </w:pPr>
          </w:p>
        </w:tc>
        <w:tc>
          <w:tcPr>
            <w:tcW w:w="4163" w:type="dxa"/>
            <w:vMerge/>
            <w:tcBorders>
              <w:top w:val="nil"/>
              <w:left w:val="nil"/>
              <w:bottom w:val="nil"/>
              <w:right w:val="nil"/>
            </w:tcBorders>
            <w:shd w:val="clear" w:color="auto" w:fill="000000" w:themeFill="text1" w:themeFillShade="BF"/>
            <w:vAlign w:val="center"/>
          </w:tcPr>
          <w:p w14:paraId="5483D421" w14:textId="77777777" w:rsidR="00187A03" w:rsidRPr="00426663" w:rsidRDefault="00187A03" w:rsidP="00187A03">
            <w:pPr>
              <w:spacing w:beforeLines="60" w:before="144" w:afterLines="60" w:after="144" w:line="240" w:lineRule="auto"/>
              <w:rPr>
                <w:rFonts w:ascii="Century Gothic" w:hAnsi="Century Gothic"/>
                <w:i w:val="0"/>
                <w:color w:val="FFFFFF" w:themeColor="background1"/>
                <w:sz w:val="21"/>
                <w:szCs w:val="21"/>
              </w:rPr>
            </w:pPr>
          </w:p>
        </w:tc>
      </w:tr>
      <w:tr w:rsidR="00187A03" w:rsidRPr="00426663" w14:paraId="3F06E1A4" w14:textId="77777777" w:rsidTr="00602F37">
        <w:trPr>
          <w:trHeight w:val="720"/>
        </w:trPr>
        <w:tc>
          <w:tcPr>
            <w:tcW w:w="8095" w:type="dxa"/>
            <w:tcBorders>
              <w:top w:val="single" w:sz="4" w:space="0" w:color="8EA9DB"/>
              <w:left w:val="single" w:sz="4" w:space="0" w:color="8EA9DB"/>
              <w:bottom w:val="single" w:sz="4" w:space="0" w:color="8EA9DB"/>
              <w:right w:val="nil"/>
            </w:tcBorders>
            <w:shd w:val="clear" w:color="auto" w:fill="auto"/>
            <w:vAlign w:val="bottom"/>
          </w:tcPr>
          <w:p w14:paraId="6288F848" w14:textId="02363B14" w:rsidR="00187A03" w:rsidRPr="00AA57DA" w:rsidRDefault="00187A03" w:rsidP="00187A03">
            <w:pPr>
              <w:pStyle w:val="table"/>
              <w:spacing w:beforeLines="60" w:before="144" w:afterLines="60" w:after="144"/>
              <w:rPr>
                <w:rFonts w:ascii="Century Gothic" w:hAnsi="Century Gothic"/>
                <w:b/>
                <w:i w:val="0"/>
              </w:rPr>
            </w:pPr>
            <w:r w:rsidRPr="00AA57DA">
              <w:rPr>
                <w:rFonts w:ascii="Calibri" w:hAnsi="Calibri" w:cs="Calibri"/>
                <w:b/>
                <w:i w:val="0"/>
                <w:color w:val="000000"/>
              </w:rPr>
              <w:t>Review of Company Financials</w:t>
            </w:r>
            <w:r w:rsidRPr="00AA57DA">
              <w:rPr>
                <w:rFonts w:ascii="Calibri" w:hAnsi="Calibri" w:cs="Calibri"/>
                <w:b/>
                <w:bCs/>
                <w:i w:val="0"/>
                <w:iCs w:val="0"/>
                <w:color w:val="000000"/>
              </w:rPr>
              <w:t xml:space="preserve"> </w:t>
            </w:r>
            <w:r w:rsidRPr="00AA57DA">
              <w:rPr>
                <w:rFonts w:ascii="Calibri" w:hAnsi="Calibri" w:cs="Calibri"/>
                <w:i w:val="0"/>
                <w:color w:val="000000"/>
              </w:rPr>
              <w:t xml:space="preserve">- The CCO should review the company's accounting records to confirm the company </w:t>
            </w:r>
            <w:proofErr w:type="gramStart"/>
            <w:r w:rsidRPr="00AA57DA">
              <w:rPr>
                <w:rFonts w:ascii="Calibri" w:hAnsi="Calibri" w:cs="Calibri"/>
                <w:i w:val="0"/>
                <w:color w:val="000000"/>
              </w:rPr>
              <w:t>is in compliance with</w:t>
            </w:r>
            <w:proofErr w:type="gramEnd"/>
            <w:r w:rsidRPr="00AA57DA">
              <w:rPr>
                <w:rFonts w:ascii="Calibri" w:hAnsi="Calibri" w:cs="Calibri"/>
                <w:i w:val="0"/>
                <w:color w:val="000000"/>
              </w:rPr>
              <w:t xml:space="preserve"> its home state's net capital requirements. If the firm is SEC registered, please make sure the company </w:t>
            </w:r>
            <w:proofErr w:type="gramStart"/>
            <w:r w:rsidRPr="00AA57DA">
              <w:rPr>
                <w:rFonts w:ascii="Calibri" w:hAnsi="Calibri" w:cs="Calibri"/>
                <w:i w:val="0"/>
                <w:color w:val="000000"/>
              </w:rPr>
              <w:t>is solvent at all times</w:t>
            </w:r>
            <w:proofErr w:type="gramEnd"/>
            <w:r w:rsidRPr="00AA57DA">
              <w:rPr>
                <w:rFonts w:ascii="Calibri" w:hAnsi="Calibri" w:cs="Calibri"/>
                <w:i w:val="0"/>
                <w:color w:val="000000"/>
              </w:rPr>
              <w:t xml:space="preserve">. </w:t>
            </w:r>
            <w:r w:rsidRPr="00AA57DA">
              <w:rPr>
                <w:rFonts w:ascii="Calibri" w:hAnsi="Calibri" w:cs="Calibri"/>
                <w:color w:val="000000"/>
              </w:rPr>
              <w:t>Monthly</w:t>
            </w:r>
          </w:p>
        </w:tc>
        <w:sdt>
          <w:sdtPr>
            <w:rPr>
              <w:rFonts w:ascii="Century Gothic" w:hAnsi="Century Gothic"/>
              <w:i w:val="0"/>
              <w:sz w:val="21"/>
              <w:szCs w:val="21"/>
            </w:rPr>
            <w:id w:val="71398100"/>
            <w15:appearance w15:val="hidden"/>
            <w14:checkbox>
              <w14:checked w14:val="0"/>
              <w14:checkedState w14:val="2612" w14:font="MS Gothic"/>
              <w14:uncheckedState w14:val="2610" w14:font="MS Gothic"/>
            </w14:checkbox>
          </w:sdtPr>
          <w:sdtEndPr/>
          <w:sdtContent>
            <w:tc>
              <w:tcPr>
                <w:tcW w:w="416"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BA9BB2C" w14:textId="0714A795" w:rsidR="00187A03" w:rsidRPr="00426663" w:rsidRDefault="00FF1C5C" w:rsidP="00187A03">
                <w:pPr>
                  <w:pStyle w:val="table"/>
                  <w:spacing w:beforeLines="60" w:before="144" w:afterLines="60" w:after="144"/>
                  <w:rPr>
                    <w:rFonts w:ascii="Century Gothic" w:hAnsi="Century Gothic"/>
                    <w:i w:val="0"/>
                    <w:sz w:val="21"/>
                    <w:szCs w:val="21"/>
                  </w:rPr>
                </w:pPr>
                <w:r>
                  <w:rPr>
                    <w:rFonts w:ascii="MS Gothic" w:eastAsia="MS Gothic" w:hAnsi="MS Gothic" w:hint="eastAsia"/>
                    <w:i w:val="0"/>
                    <w:sz w:val="21"/>
                    <w:szCs w:val="21"/>
                  </w:rPr>
                  <w:t>☐</w:t>
                </w:r>
              </w:p>
            </w:tc>
          </w:sdtContent>
        </w:sdt>
        <w:tc>
          <w:tcPr>
            <w:tcW w:w="1491"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97E58BA" w14:textId="77777777" w:rsidR="00187A03" w:rsidRPr="00426663" w:rsidRDefault="00187A03" w:rsidP="00187A03">
            <w:pPr>
              <w:pStyle w:val="table"/>
              <w:spacing w:beforeLines="60" w:before="144" w:afterLines="60" w:after="144"/>
              <w:rPr>
                <w:rFonts w:ascii="Century Gothic" w:hAnsi="Century Gothic"/>
                <w:i w:val="0"/>
                <w:sz w:val="21"/>
                <w:szCs w:val="21"/>
              </w:rPr>
            </w:pPr>
          </w:p>
        </w:tc>
        <w:tc>
          <w:tcPr>
            <w:tcW w:w="236" w:type="dxa"/>
            <w:tcBorders>
              <w:top w:val="nil"/>
              <w:left w:val="single" w:sz="4" w:space="0" w:color="999999" w:themeColor="text2" w:themeTint="66"/>
              <w:bottom w:val="nil"/>
              <w:right w:val="nil"/>
            </w:tcBorders>
            <w:vAlign w:val="center"/>
          </w:tcPr>
          <w:p w14:paraId="7F1EDE4A" w14:textId="77777777" w:rsidR="00187A03" w:rsidRPr="00426663" w:rsidRDefault="00187A03" w:rsidP="00187A03">
            <w:pPr>
              <w:spacing w:beforeLines="60" w:before="144" w:afterLines="60" w:after="144" w:line="240" w:lineRule="auto"/>
              <w:rPr>
                <w:rFonts w:ascii="Century Gothic" w:hAnsi="Century Gothic"/>
                <w:i w:val="0"/>
                <w:sz w:val="21"/>
                <w:szCs w:val="21"/>
              </w:rPr>
            </w:pPr>
          </w:p>
        </w:tc>
        <w:tc>
          <w:tcPr>
            <w:tcW w:w="4163" w:type="dxa"/>
            <w:vMerge/>
            <w:tcBorders>
              <w:top w:val="nil"/>
              <w:left w:val="nil"/>
              <w:bottom w:val="nil"/>
              <w:right w:val="nil"/>
            </w:tcBorders>
            <w:shd w:val="clear" w:color="auto" w:fill="000000" w:themeFill="text1" w:themeFillShade="BF"/>
            <w:vAlign w:val="center"/>
          </w:tcPr>
          <w:p w14:paraId="5E42AD80" w14:textId="77777777" w:rsidR="00187A03" w:rsidRPr="00426663" w:rsidRDefault="00187A03" w:rsidP="00187A03">
            <w:pPr>
              <w:spacing w:beforeLines="60" w:before="144" w:afterLines="60" w:after="144" w:line="240" w:lineRule="auto"/>
              <w:rPr>
                <w:rFonts w:ascii="Century Gothic" w:hAnsi="Century Gothic"/>
                <w:i w:val="0"/>
                <w:color w:val="FFFFFF" w:themeColor="background1"/>
                <w:sz w:val="21"/>
                <w:szCs w:val="21"/>
              </w:rPr>
            </w:pPr>
          </w:p>
        </w:tc>
      </w:tr>
      <w:tr w:rsidR="00187A03" w:rsidRPr="00426663" w14:paraId="24C083AF" w14:textId="77777777" w:rsidTr="00AA5EFB">
        <w:trPr>
          <w:trHeight w:val="720"/>
        </w:trPr>
        <w:tc>
          <w:tcPr>
            <w:tcW w:w="8095" w:type="dxa"/>
            <w:tcBorders>
              <w:top w:val="single" w:sz="4" w:space="0" w:color="8EA9DB"/>
              <w:left w:val="single" w:sz="4" w:space="0" w:color="8EA9DB"/>
              <w:bottom w:val="single" w:sz="4" w:space="0" w:color="8EA9DB"/>
              <w:right w:val="nil"/>
            </w:tcBorders>
            <w:shd w:val="clear" w:color="auto" w:fill="CDDEFF"/>
            <w:vAlign w:val="bottom"/>
          </w:tcPr>
          <w:p w14:paraId="42865A8C" w14:textId="77777777" w:rsidR="00187A03" w:rsidRPr="00AA57DA" w:rsidRDefault="00187A03" w:rsidP="00187A03">
            <w:pPr>
              <w:pStyle w:val="table"/>
              <w:spacing w:beforeLines="60" w:before="144" w:afterLines="60" w:after="144"/>
              <w:rPr>
                <w:rFonts w:ascii="Century Gothic" w:hAnsi="Century Gothic"/>
                <w:i w:val="0"/>
              </w:rPr>
            </w:pPr>
            <w:r w:rsidRPr="00AA57DA">
              <w:rPr>
                <w:rFonts w:ascii="Calibri" w:hAnsi="Calibri" w:cs="Calibri"/>
                <w:b/>
                <w:i w:val="0"/>
                <w:color w:val="000000"/>
              </w:rPr>
              <w:t>Review Trade Blotter</w:t>
            </w:r>
            <w:r w:rsidRPr="00AA57DA">
              <w:rPr>
                <w:rFonts w:ascii="Calibri" w:hAnsi="Calibri" w:cs="Calibri"/>
                <w:b/>
                <w:bCs/>
                <w:i w:val="0"/>
                <w:iCs w:val="0"/>
                <w:color w:val="000000"/>
              </w:rPr>
              <w:t xml:space="preserve"> </w:t>
            </w:r>
            <w:r w:rsidRPr="00AA57DA">
              <w:rPr>
                <w:rFonts w:ascii="Calibri" w:hAnsi="Calibri" w:cs="Calibri"/>
                <w:i w:val="0"/>
                <w:color w:val="000000"/>
              </w:rPr>
              <w:t xml:space="preserve">- Download Blotter from Custodian and review for any irregular trading patterns, trade errors, trade discrepancies or large amounts of trading in one account. </w:t>
            </w:r>
            <w:r w:rsidRPr="00AA57DA">
              <w:rPr>
                <w:rFonts w:ascii="Calibri" w:hAnsi="Calibri" w:cs="Calibri"/>
                <w:color w:val="000000"/>
              </w:rPr>
              <w:t>Monthly</w:t>
            </w:r>
          </w:p>
        </w:tc>
        <w:sdt>
          <w:sdtPr>
            <w:rPr>
              <w:rFonts w:ascii="Century Gothic" w:hAnsi="Century Gothic"/>
              <w:i w:val="0"/>
              <w:sz w:val="21"/>
              <w:szCs w:val="21"/>
            </w:rPr>
            <w:id w:val="-873302951"/>
            <w15:appearance w15:val="hidden"/>
            <w14:checkbox>
              <w14:checked w14:val="0"/>
              <w14:checkedState w14:val="2612" w14:font="MS Gothic"/>
              <w14:uncheckedState w14:val="2610" w14:font="MS Gothic"/>
            </w14:checkbox>
          </w:sdtPr>
          <w:sdtEndPr/>
          <w:sdtContent>
            <w:tc>
              <w:tcPr>
                <w:tcW w:w="416"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74C72C5" w14:textId="192B25A4" w:rsidR="00187A03" w:rsidRPr="00426663" w:rsidRDefault="00FF1C5C" w:rsidP="00187A03">
                <w:pPr>
                  <w:pStyle w:val="table"/>
                  <w:spacing w:beforeLines="60" w:before="144" w:afterLines="60" w:after="144"/>
                  <w:rPr>
                    <w:rFonts w:ascii="Century Gothic" w:hAnsi="Century Gothic"/>
                    <w:i w:val="0"/>
                    <w:sz w:val="21"/>
                    <w:szCs w:val="21"/>
                  </w:rPr>
                </w:pPr>
                <w:r>
                  <w:rPr>
                    <w:rFonts w:ascii="MS Gothic" w:eastAsia="MS Gothic" w:hAnsi="MS Gothic" w:hint="eastAsia"/>
                    <w:i w:val="0"/>
                    <w:sz w:val="21"/>
                    <w:szCs w:val="21"/>
                  </w:rPr>
                  <w:t>☐</w:t>
                </w:r>
              </w:p>
            </w:tc>
          </w:sdtContent>
        </w:sdt>
        <w:tc>
          <w:tcPr>
            <w:tcW w:w="1491"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ADBB51A" w14:textId="77777777" w:rsidR="00187A03" w:rsidRPr="00426663" w:rsidRDefault="00187A03" w:rsidP="00187A03">
            <w:pPr>
              <w:pStyle w:val="table"/>
              <w:spacing w:beforeLines="60" w:before="144" w:afterLines="60" w:after="144"/>
              <w:rPr>
                <w:rFonts w:ascii="Century Gothic" w:hAnsi="Century Gothic"/>
                <w:i w:val="0"/>
                <w:sz w:val="21"/>
                <w:szCs w:val="21"/>
              </w:rPr>
            </w:pPr>
          </w:p>
        </w:tc>
        <w:tc>
          <w:tcPr>
            <w:tcW w:w="236" w:type="dxa"/>
            <w:tcBorders>
              <w:top w:val="nil"/>
              <w:left w:val="single" w:sz="4" w:space="0" w:color="999999" w:themeColor="text2" w:themeTint="66"/>
              <w:bottom w:val="nil"/>
              <w:right w:val="nil"/>
            </w:tcBorders>
            <w:vAlign w:val="center"/>
          </w:tcPr>
          <w:p w14:paraId="29BF6F81" w14:textId="77777777" w:rsidR="00187A03" w:rsidRPr="00426663" w:rsidRDefault="00187A03" w:rsidP="00187A03">
            <w:pPr>
              <w:spacing w:beforeLines="60" w:before="144" w:afterLines="60" w:after="144" w:line="240" w:lineRule="auto"/>
              <w:rPr>
                <w:rFonts w:ascii="Century Gothic" w:hAnsi="Century Gothic"/>
                <w:i w:val="0"/>
                <w:sz w:val="21"/>
                <w:szCs w:val="21"/>
              </w:rPr>
            </w:pPr>
          </w:p>
        </w:tc>
        <w:tc>
          <w:tcPr>
            <w:tcW w:w="4163" w:type="dxa"/>
            <w:vMerge/>
            <w:tcBorders>
              <w:top w:val="nil"/>
              <w:left w:val="nil"/>
              <w:bottom w:val="nil"/>
              <w:right w:val="nil"/>
            </w:tcBorders>
            <w:shd w:val="clear" w:color="auto" w:fill="000000" w:themeFill="text1" w:themeFillShade="BF"/>
            <w:vAlign w:val="center"/>
          </w:tcPr>
          <w:p w14:paraId="30255F29" w14:textId="77777777" w:rsidR="00187A03" w:rsidRPr="00426663" w:rsidRDefault="00187A03" w:rsidP="00187A03">
            <w:pPr>
              <w:spacing w:beforeLines="60" w:before="144" w:afterLines="60" w:after="144" w:line="240" w:lineRule="auto"/>
              <w:rPr>
                <w:rFonts w:ascii="Century Gothic" w:hAnsi="Century Gothic"/>
                <w:i w:val="0"/>
                <w:color w:val="FFFFFF" w:themeColor="background1"/>
                <w:sz w:val="21"/>
                <w:szCs w:val="21"/>
              </w:rPr>
            </w:pPr>
          </w:p>
        </w:tc>
      </w:tr>
      <w:tr w:rsidR="00187A03" w:rsidRPr="00426663" w14:paraId="4BBB572E" w14:textId="77777777" w:rsidTr="00210168">
        <w:trPr>
          <w:trHeight w:val="720"/>
        </w:trPr>
        <w:tc>
          <w:tcPr>
            <w:tcW w:w="8095" w:type="dxa"/>
            <w:tcBorders>
              <w:top w:val="single" w:sz="4" w:space="0" w:color="8EA9DB"/>
              <w:left w:val="single" w:sz="4" w:space="0" w:color="8EA9DB"/>
              <w:bottom w:val="single" w:sz="4" w:space="0" w:color="8EA9DB"/>
              <w:right w:val="nil"/>
            </w:tcBorders>
            <w:shd w:val="clear" w:color="auto" w:fill="auto"/>
            <w:vAlign w:val="bottom"/>
          </w:tcPr>
          <w:p w14:paraId="01825B76" w14:textId="2D788715" w:rsidR="00187A03" w:rsidRPr="00426663" w:rsidRDefault="00187A03" w:rsidP="00187A03">
            <w:pPr>
              <w:pStyle w:val="table"/>
              <w:spacing w:beforeLines="60" w:before="144" w:afterLines="60" w:after="144"/>
              <w:rPr>
                <w:rFonts w:ascii="Calibri" w:hAnsi="Calibri" w:cs="Calibri"/>
                <w:b/>
                <w:i w:val="0"/>
                <w:color w:val="000000"/>
                <w:sz w:val="21"/>
                <w:szCs w:val="21"/>
              </w:rPr>
            </w:pPr>
            <w:r w:rsidRPr="00426663">
              <w:rPr>
                <w:rFonts w:ascii="Calibri" w:hAnsi="Calibri" w:cs="Calibri"/>
                <w:b/>
                <w:i w:val="0"/>
                <w:color w:val="000000"/>
                <w:sz w:val="21"/>
                <w:szCs w:val="21"/>
              </w:rPr>
              <w:t>Correspondence and Email Review</w:t>
            </w:r>
            <w:r>
              <w:rPr>
                <w:rFonts w:ascii="Calibri" w:hAnsi="Calibri" w:cs="Calibri"/>
                <w:b/>
                <w:bCs/>
                <w:i w:val="0"/>
                <w:iCs w:val="0"/>
                <w:color w:val="000000"/>
                <w:sz w:val="21"/>
                <w:szCs w:val="21"/>
              </w:rPr>
              <w:t xml:space="preserve"> </w:t>
            </w:r>
            <w:r w:rsidRPr="00426663">
              <w:rPr>
                <w:rFonts w:ascii="Calibri" w:hAnsi="Calibri" w:cs="Calibri"/>
                <w:i w:val="0"/>
                <w:color w:val="000000"/>
                <w:sz w:val="21"/>
                <w:szCs w:val="21"/>
              </w:rPr>
              <w:t>- Review staff correspondence, including email.</w:t>
            </w:r>
            <w:r w:rsidRPr="00426663">
              <w:rPr>
                <w:rFonts w:ascii="Calibri" w:hAnsi="Calibri" w:cs="Calibri"/>
                <w:color w:val="000000"/>
                <w:sz w:val="21"/>
                <w:szCs w:val="21"/>
              </w:rPr>
              <w:t xml:space="preserve"> Monthly</w:t>
            </w:r>
          </w:p>
        </w:tc>
        <w:sdt>
          <w:sdtPr>
            <w:rPr>
              <w:rFonts w:ascii="Century Gothic" w:hAnsi="Century Gothic"/>
              <w:i w:val="0"/>
              <w:sz w:val="21"/>
              <w:szCs w:val="21"/>
            </w:rPr>
            <w:id w:val="-449704325"/>
            <w15:appearance w15:val="hidden"/>
            <w14:checkbox>
              <w14:checked w14:val="0"/>
              <w14:checkedState w14:val="2612" w14:font="MS Gothic"/>
              <w14:uncheckedState w14:val="2610" w14:font="MS Gothic"/>
            </w14:checkbox>
          </w:sdtPr>
          <w:sdtEndPr/>
          <w:sdtContent>
            <w:tc>
              <w:tcPr>
                <w:tcW w:w="416"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0FB62E3" w14:textId="66DE814A" w:rsidR="00187A03" w:rsidRDefault="00FF1C5C" w:rsidP="00187A03">
                <w:pPr>
                  <w:pStyle w:val="table"/>
                  <w:spacing w:beforeLines="60" w:before="144" w:afterLines="60" w:after="144"/>
                  <w:rPr>
                    <w:rFonts w:ascii="Century Gothic" w:hAnsi="Century Gothic"/>
                    <w:i w:val="0"/>
                    <w:sz w:val="21"/>
                    <w:szCs w:val="21"/>
                  </w:rPr>
                </w:pPr>
                <w:r>
                  <w:rPr>
                    <w:rFonts w:ascii="MS Gothic" w:eastAsia="MS Gothic" w:hAnsi="MS Gothic" w:hint="eastAsia"/>
                    <w:i w:val="0"/>
                    <w:sz w:val="21"/>
                    <w:szCs w:val="21"/>
                  </w:rPr>
                  <w:t>☐</w:t>
                </w:r>
              </w:p>
            </w:tc>
          </w:sdtContent>
        </w:sdt>
        <w:tc>
          <w:tcPr>
            <w:tcW w:w="1491"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70D479A" w14:textId="77777777" w:rsidR="00187A03" w:rsidRPr="00426663" w:rsidRDefault="00187A03" w:rsidP="00187A03">
            <w:pPr>
              <w:pStyle w:val="table"/>
              <w:spacing w:beforeLines="60" w:before="144" w:afterLines="60" w:after="144"/>
              <w:rPr>
                <w:rFonts w:ascii="Century Gothic" w:hAnsi="Century Gothic"/>
                <w:i w:val="0"/>
                <w:sz w:val="21"/>
                <w:szCs w:val="21"/>
              </w:rPr>
            </w:pPr>
          </w:p>
        </w:tc>
        <w:tc>
          <w:tcPr>
            <w:tcW w:w="236" w:type="dxa"/>
            <w:tcBorders>
              <w:top w:val="nil"/>
              <w:left w:val="single" w:sz="4" w:space="0" w:color="999999" w:themeColor="text2" w:themeTint="66"/>
              <w:bottom w:val="nil"/>
              <w:right w:val="nil"/>
            </w:tcBorders>
            <w:vAlign w:val="center"/>
          </w:tcPr>
          <w:p w14:paraId="6380B991" w14:textId="77777777" w:rsidR="00187A03" w:rsidRPr="00426663" w:rsidRDefault="00187A03" w:rsidP="00187A03">
            <w:pPr>
              <w:spacing w:beforeLines="60" w:before="144" w:afterLines="60" w:after="144" w:line="240" w:lineRule="auto"/>
              <w:rPr>
                <w:rFonts w:ascii="Century Gothic" w:hAnsi="Century Gothic"/>
                <w:i w:val="0"/>
                <w:sz w:val="21"/>
                <w:szCs w:val="21"/>
              </w:rPr>
            </w:pPr>
          </w:p>
        </w:tc>
        <w:tc>
          <w:tcPr>
            <w:tcW w:w="4163" w:type="dxa"/>
            <w:tcBorders>
              <w:top w:val="nil"/>
              <w:left w:val="nil"/>
              <w:bottom w:val="nil"/>
              <w:right w:val="nil"/>
            </w:tcBorders>
            <w:shd w:val="clear" w:color="auto" w:fill="000000" w:themeFill="text1" w:themeFillShade="BF"/>
            <w:vAlign w:val="center"/>
          </w:tcPr>
          <w:p w14:paraId="5C5BE05E" w14:textId="77777777" w:rsidR="00187A03" w:rsidRPr="00426663" w:rsidRDefault="00187A03" w:rsidP="00187A03">
            <w:pPr>
              <w:spacing w:beforeLines="60" w:before="144" w:afterLines="60" w:after="144" w:line="240" w:lineRule="auto"/>
              <w:rPr>
                <w:rFonts w:ascii="Century Gothic" w:hAnsi="Century Gothic"/>
                <w:i w:val="0"/>
                <w:color w:val="FFFFFF" w:themeColor="background1"/>
                <w:sz w:val="21"/>
                <w:szCs w:val="21"/>
              </w:rPr>
            </w:pPr>
          </w:p>
        </w:tc>
      </w:tr>
    </w:tbl>
    <w:p w14:paraId="07B27298" w14:textId="01C539E3" w:rsidR="004F3DD8" w:rsidRDefault="004F3DD8" w:rsidP="008843FE">
      <w:pPr>
        <w:spacing w:after="0" w:line="240" w:lineRule="auto"/>
        <w:jc w:val="both"/>
        <w:rPr>
          <w:rFonts w:ascii="Calibri" w:hAnsi="Calibri" w:cs="Calibri"/>
          <w:i w:val="0"/>
          <w:iCs w:val="0"/>
          <w:color w:val="000000"/>
          <w:sz w:val="22"/>
          <w:szCs w:val="22"/>
        </w:rPr>
      </w:pPr>
    </w:p>
    <w:p w14:paraId="16E66B6D" w14:textId="77777777" w:rsidR="000502FE" w:rsidRPr="000502FE" w:rsidRDefault="000502FE" w:rsidP="000502FE">
      <w:pPr>
        <w:spacing w:after="0" w:line="276" w:lineRule="auto"/>
        <w:ind w:left="-270" w:right="900"/>
        <w:jc w:val="center"/>
        <w:rPr>
          <w:rFonts w:ascii="Calibri" w:eastAsia="Calibri" w:hAnsi="Calibri" w:cs="Calibri"/>
          <w:b/>
          <w:bCs/>
          <w:i w:val="0"/>
          <w:iCs w:val="0"/>
          <w:smallCaps/>
          <w:color w:val="000000"/>
          <w:spacing w:val="5"/>
          <w:sz w:val="28"/>
          <w:szCs w:val="28"/>
          <w:u w:val="single"/>
          <w:lang w:val="en-US"/>
        </w:rPr>
      </w:pPr>
      <w:r w:rsidRPr="000502FE">
        <w:rPr>
          <w:rFonts w:ascii="Calibri" w:eastAsia="Calibri" w:hAnsi="Calibri" w:cs="Calibri"/>
          <w:b/>
          <w:bCs/>
          <w:i w:val="0"/>
          <w:iCs w:val="0"/>
          <w:smallCaps/>
          <w:color w:val="000000"/>
          <w:spacing w:val="5"/>
          <w:sz w:val="28"/>
          <w:szCs w:val="28"/>
          <w:u w:val="single"/>
          <w:lang w:val="en-US"/>
        </w:rPr>
        <w:lastRenderedPageBreak/>
        <w:t>2022 YEAR END CHECKLIST</w:t>
      </w:r>
    </w:p>
    <w:p w14:paraId="039C30CF" w14:textId="31523CB0" w:rsidR="000502FE" w:rsidRPr="0007526F" w:rsidRDefault="000502FE" w:rsidP="000502FE">
      <w:pPr>
        <w:numPr>
          <w:ilvl w:val="0"/>
          <w:numId w:val="13"/>
        </w:numPr>
        <w:pBdr>
          <w:top w:val="nil"/>
          <w:left w:val="nil"/>
          <w:bottom w:val="nil"/>
          <w:right w:val="nil"/>
          <w:between w:val="nil"/>
          <w:bar w:val="nil"/>
        </w:pBdr>
        <w:spacing w:after="0" w:line="240" w:lineRule="auto"/>
        <w:ind w:left="-270"/>
        <w:rPr>
          <w:rFonts w:ascii="Calibri" w:eastAsia="Calibri" w:hAnsi="Calibri" w:cs="Calibri"/>
          <w:i w:val="0"/>
          <w:iCs w:val="0"/>
          <w:color w:val="C00000"/>
          <w:kern w:val="20"/>
          <w:sz w:val="21"/>
          <w:szCs w:val="21"/>
          <w:u w:color="000000"/>
          <w:bdr w:val="nil"/>
          <w:lang w:val="en-US" w:eastAsia="zh-CN" w:bidi="hi-IN"/>
        </w:rPr>
      </w:pPr>
      <w:r w:rsidRPr="0007526F">
        <w:rPr>
          <w:rFonts w:ascii="Calibri" w:eastAsia="Calibri" w:hAnsi="Calibri" w:cs="Calibri"/>
          <w:b/>
          <w:bCs/>
          <w:i w:val="0"/>
          <w:iCs w:val="0"/>
          <w:color w:val="000000"/>
          <w:kern w:val="20"/>
          <w:sz w:val="21"/>
          <w:szCs w:val="21"/>
          <w:u w:color="000000"/>
          <w:bdr w:val="nil"/>
          <w:lang w:val="en-US" w:eastAsia="zh-CN" w:bidi="hi-IN"/>
        </w:rPr>
        <w:t>2022 ANNUAL REVIEW</w:t>
      </w:r>
      <w:r w:rsidRPr="0007526F">
        <w:rPr>
          <w:rFonts w:ascii="Calibri" w:eastAsia="Calibri" w:hAnsi="Calibri" w:cs="Calibri"/>
          <w:i w:val="0"/>
          <w:iCs w:val="0"/>
          <w:color w:val="000000"/>
          <w:kern w:val="20"/>
          <w:sz w:val="21"/>
          <w:szCs w:val="21"/>
          <w:u w:color="000000"/>
          <w:bdr w:val="nil"/>
          <w:lang w:val="en-US" w:eastAsia="zh-CN" w:bidi="hi-IN"/>
        </w:rPr>
        <w:t xml:space="preserve"> </w:t>
      </w:r>
    </w:p>
    <w:p w14:paraId="61D8C020" w14:textId="5AC777F8" w:rsidR="001C5DCD" w:rsidRDefault="000502FE" w:rsidP="000502FE">
      <w:pPr>
        <w:pBdr>
          <w:top w:val="nil"/>
          <w:left w:val="nil"/>
          <w:bottom w:val="nil"/>
          <w:right w:val="nil"/>
          <w:between w:val="nil"/>
          <w:bar w:val="nil"/>
        </w:pBdr>
        <w:spacing w:after="0" w:line="240" w:lineRule="auto"/>
        <w:ind w:left="-27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Review, tailor, and document Annual Compliance Program Review.</w:t>
      </w:r>
    </w:p>
    <w:p w14:paraId="7AEF00CE" w14:textId="19953F27" w:rsidR="000502FE" w:rsidRPr="000502FE" w:rsidRDefault="000502FE" w:rsidP="000502FE">
      <w:pPr>
        <w:pStyle w:val="ListParagraph"/>
        <w:numPr>
          <w:ilvl w:val="0"/>
          <w:numId w:val="23"/>
        </w:numPr>
        <w:pBdr>
          <w:top w:val="nil"/>
          <w:left w:val="nil"/>
          <w:bottom w:val="nil"/>
          <w:right w:val="nil"/>
          <w:between w:val="nil"/>
          <w:bar w:val="nil"/>
        </w:pBdr>
        <w:spacing w:after="0" w:line="240" w:lineRule="auto"/>
        <w:rPr>
          <w:rFonts w:ascii="Calibri" w:eastAsia="Calibri" w:hAnsi="Calibri" w:cs="Calibri"/>
          <w:i w:val="0"/>
          <w:iCs w:val="0"/>
          <w:color w:val="C00000"/>
          <w:kern w:val="20"/>
          <w:sz w:val="21"/>
          <w:szCs w:val="21"/>
          <w:u w:color="000000"/>
          <w:bdr w:val="nil"/>
          <w:lang w:val="en-US" w:eastAsia="zh-CN" w:bidi="hi-IN"/>
        </w:rPr>
      </w:pPr>
      <w:r w:rsidRPr="000502FE">
        <w:rPr>
          <w:rFonts w:ascii="Calibri" w:eastAsia="Calibri" w:hAnsi="Calibri" w:cs="Calibri"/>
          <w:b/>
          <w:bCs/>
          <w:i w:val="0"/>
          <w:iCs w:val="0"/>
          <w:color w:val="C00000"/>
          <w:kern w:val="20"/>
          <w:sz w:val="21"/>
          <w:szCs w:val="21"/>
          <w:u w:color="000000"/>
          <w:bdr w:val="nil"/>
          <w:lang w:val="en-US" w:eastAsia="zh-CN" w:bidi="hi-IN"/>
        </w:rPr>
        <w:t>Refer to</w:t>
      </w:r>
      <w:r>
        <w:rPr>
          <w:rFonts w:ascii="Calibri" w:eastAsia="Calibri" w:hAnsi="Calibri" w:cs="Calibri"/>
          <w:b/>
          <w:bCs/>
          <w:i w:val="0"/>
          <w:iCs w:val="0"/>
          <w:color w:val="C00000"/>
          <w:kern w:val="20"/>
          <w:sz w:val="21"/>
          <w:szCs w:val="21"/>
          <w:u w:color="000000"/>
          <w:bdr w:val="nil"/>
          <w:lang w:val="en-US" w:eastAsia="zh-CN" w:bidi="hi-IN"/>
        </w:rPr>
        <w:t xml:space="preserve"> December 2022 TMIC. </w:t>
      </w:r>
    </w:p>
    <w:p w14:paraId="5A1F736E" w14:textId="77777777" w:rsidR="000502FE" w:rsidRDefault="000502FE" w:rsidP="00CC53E7">
      <w:pPr>
        <w:spacing w:after="0" w:line="240" w:lineRule="auto"/>
        <w:jc w:val="both"/>
        <w:rPr>
          <w:rFonts w:ascii="Calibri" w:hAnsi="Calibri" w:cs="Calibri"/>
          <w:i w:val="0"/>
          <w:iCs w:val="0"/>
          <w:color w:val="000000"/>
          <w:sz w:val="22"/>
          <w:szCs w:val="22"/>
          <w:lang w:val="en-US"/>
        </w:rPr>
      </w:pPr>
    </w:p>
    <w:p w14:paraId="02B0BE65" w14:textId="77777777" w:rsidR="0007526F" w:rsidRPr="0007526F" w:rsidRDefault="0007526F" w:rsidP="0007526F">
      <w:pPr>
        <w:numPr>
          <w:ilvl w:val="0"/>
          <w:numId w:val="13"/>
        </w:numPr>
        <w:pBdr>
          <w:top w:val="nil"/>
          <w:left w:val="nil"/>
          <w:bottom w:val="nil"/>
          <w:right w:val="nil"/>
          <w:between w:val="nil"/>
          <w:bar w:val="nil"/>
        </w:pBdr>
        <w:spacing w:after="0" w:line="240" w:lineRule="auto"/>
        <w:ind w:left="-27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b/>
          <w:bCs/>
          <w:i w:val="0"/>
          <w:iCs w:val="0"/>
          <w:color w:val="000000"/>
          <w:kern w:val="20"/>
          <w:sz w:val="21"/>
          <w:szCs w:val="21"/>
          <w:u w:color="000000"/>
          <w:bdr w:val="nil"/>
          <w:lang w:val="en-US" w:eastAsia="zh-CN" w:bidi="hi-IN"/>
        </w:rPr>
        <w:t>IARD REGISTRATION FEES</w:t>
      </w:r>
    </w:p>
    <w:p w14:paraId="5184E934" w14:textId="77777777" w:rsidR="0007526F" w:rsidRPr="0007526F" w:rsidRDefault="0007526F" w:rsidP="0007526F">
      <w:pPr>
        <w:pBdr>
          <w:top w:val="nil"/>
          <w:left w:val="nil"/>
          <w:bottom w:val="nil"/>
          <w:right w:val="nil"/>
          <w:between w:val="nil"/>
          <w:bar w:val="nil"/>
        </w:pBdr>
        <w:spacing w:after="0" w:line="240" w:lineRule="auto"/>
        <w:ind w:left="-27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Fund IARD</w:t>
      </w:r>
      <w:r w:rsidRPr="0007526F">
        <w:rPr>
          <w:rFonts w:ascii="Calibri" w:eastAsia="Calibri" w:hAnsi="Calibri" w:cs="Calibri"/>
          <w:b/>
          <w:bCs/>
          <w:i w:val="0"/>
          <w:iCs w:val="0"/>
          <w:color w:val="000000"/>
          <w:kern w:val="20"/>
          <w:sz w:val="21"/>
          <w:szCs w:val="21"/>
          <w:u w:color="000000"/>
          <w:bdr w:val="nil"/>
          <w:lang w:val="en-US" w:eastAsia="zh-CN" w:bidi="hi-IN"/>
        </w:rPr>
        <w:t xml:space="preserve"> </w:t>
      </w:r>
      <w:r w:rsidRPr="0007526F">
        <w:rPr>
          <w:rFonts w:ascii="Calibri" w:eastAsia="Calibri" w:hAnsi="Calibri" w:cs="Calibri"/>
          <w:i w:val="0"/>
          <w:iCs w:val="0"/>
          <w:color w:val="000000"/>
          <w:kern w:val="20"/>
          <w:sz w:val="21"/>
          <w:szCs w:val="21"/>
          <w:u w:color="000000"/>
          <w:bdr w:val="nil"/>
          <w:lang w:val="en-US" w:eastAsia="zh-CN" w:bidi="hi-IN"/>
        </w:rPr>
        <w:t>2023 Registration Fees – Deadline to pay is December 12</w:t>
      </w:r>
      <w:r w:rsidRPr="0007526F">
        <w:rPr>
          <w:rFonts w:ascii="Calibri" w:eastAsia="Calibri" w:hAnsi="Calibri" w:cs="Calibri"/>
          <w:i w:val="0"/>
          <w:iCs w:val="0"/>
          <w:color w:val="000000"/>
          <w:kern w:val="20"/>
          <w:sz w:val="21"/>
          <w:szCs w:val="21"/>
          <w:u w:color="000000"/>
          <w:bdr w:val="nil"/>
          <w:vertAlign w:val="superscript"/>
          <w:lang w:val="en-US" w:eastAsia="zh-CN" w:bidi="hi-IN"/>
        </w:rPr>
        <w:t>th</w:t>
      </w:r>
      <w:r w:rsidRPr="0007526F">
        <w:rPr>
          <w:rFonts w:ascii="Calibri" w:eastAsia="Calibri" w:hAnsi="Calibri" w:cs="Calibri"/>
          <w:i w:val="0"/>
          <w:iCs w:val="0"/>
          <w:color w:val="000000"/>
          <w:kern w:val="20"/>
          <w:sz w:val="21"/>
          <w:szCs w:val="21"/>
          <w:u w:color="000000"/>
          <w:bdr w:val="nil"/>
          <w:lang w:val="en-US" w:eastAsia="zh-CN" w:bidi="hi-IN"/>
        </w:rPr>
        <w:t>.</w:t>
      </w:r>
    </w:p>
    <w:p w14:paraId="72F358CA" w14:textId="77777777" w:rsidR="0007526F" w:rsidRPr="0007526F" w:rsidRDefault="0007526F" w:rsidP="0007526F">
      <w:pPr>
        <w:numPr>
          <w:ilvl w:val="0"/>
          <w:numId w:val="20"/>
        </w:numPr>
        <w:pBdr>
          <w:top w:val="nil"/>
          <w:left w:val="nil"/>
          <w:bottom w:val="nil"/>
          <w:right w:val="nil"/>
          <w:between w:val="nil"/>
          <w:bar w:val="nil"/>
        </w:pBdr>
        <w:spacing w:after="0" w:line="240" w:lineRule="auto"/>
        <w:ind w:left="9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b/>
          <w:bCs/>
          <w:i w:val="0"/>
          <w:iCs w:val="0"/>
          <w:color w:val="C00000"/>
          <w:kern w:val="20"/>
          <w:sz w:val="21"/>
          <w:szCs w:val="21"/>
          <w:u w:color="000000"/>
          <w:bdr w:val="nil"/>
          <w:lang w:val="en-US" w:eastAsia="zh-CN" w:bidi="hi-IN"/>
        </w:rPr>
        <w:t>Refer to Firm’s Renewal Statement sent by CRP week of Nov 7th</w:t>
      </w:r>
      <w:r w:rsidRPr="0007526F">
        <w:rPr>
          <w:rFonts w:ascii="Calibri" w:eastAsia="Calibri" w:hAnsi="Calibri" w:cs="Calibri"/>
          <w:i w:val="0"/>
          <w:iCs w:val="0"/>
          <w:color w:val="C00000"/>
          <w:kern w:val="20"/>
          <w:sz w:val="21"/>
          <w:szCs w:val="21"/>
          <w:u w:color="000000"/>
          <w:bdr w:val="nil"/>
          <w:lang w:val="en-US" w:eastAsia="zh-CN" w:bidi="hi-IN"/>
        </w:rPr>
        <w:t xml:space="preserve"> </w:t>
      </w:r>
    </w:p>
    <w:p w14:paraId="7CA2399C" w14:textId="77777777" w:rsidR="0007526F" w:rsidRPr="0007526F" w:rsidRDefault="0007526F" w:rsidP="0007526F">
      <w:pPr>
        <w:pBdr>
          <w:top w:val="nil"/>
          <w:left w:val="nil"/>
          <w:bottom w:val="nil"/>
          <w:right w:val="nil"/>
          <w:between w:val="nil"/>
          <w:bar w:val="nil"/>
        </w:pBdr>
        <w:spacing w:after="0" w:line="240" w:lineRule="auto"/>
        <w:rPr>
          <w:rFonts w:ascii="Calibri" w:eastAsia="Calibri" w:hAnsi="Calibri" w:cs="Calibri"/>
          <w:b/>
          <w:bCs/>
          <w:i w:val="0"/>
          <w:iCs w:val="0"/>
          <w:color w:val="C00000"/>
          <w:kern w:val="20"/>
          <w:sz w:val="21"/>
          <w:szCs w:val="21"/>
          <w:u w:color="000000"/>
          <w:bdr w:val="nil"/>
          <w:lang w:val="en-US" w:eastAsia="zh-CN" w:bidi="hi-IN"/>
        </w:rPr>
      </w:pPr>
    </w:p>
    <w:p w14:paraId="76891C2A" w14:textId="77777777" w:rsidR="0007526F" w:rsidRPr="0007526F" w:rsidRDefault="0007526F" w:rsidP="0007526F">
      <w:pPr>
        <w:numPr>
          <w:ilvl w:val="0"/>
          <w:numId w:val="13"/>
        </w:numPr>
        <w:pBdr>
          <w:top w:val="nil"/>
          <w:left w:val="nil"/>
          <w:bottom w:val="nil"/>
          <w:right w:val="nil"/>
          <w:between w:val="nil"/>
          <w:bar w:val="nil"/>
        </w:pBdr>
        <w:tabs>
          <w:tab w:val="left" w:pos="1440"/>
        </w:tabs>
        <w:spacing w:after="0" w:line="240" w:lineRule="auto"/>
        <w:ind w:left="-27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b/>
          <w:bCs/>
          <w:i w:val="0"/>
          <w:iCs w:val="0"/>
          <w:color w:val="000000"/>
          <w:kern w:val="20"/>
          <w:sz w:val="21"/>
          <w:szCs w:val="21"/>
          <w:u w:color="000000"/>
          <w:bdr w:val="nil"/>
          <w:lang w:val="en-US" w:eastAsia="zh-CN" w:bidi="hi-IN"/>
        </w:rPr>
        <w:t xml:space="preserve">FIRM’S POLICIES AND PROCEDURES MANUAL </w:t>
      </w:r>
    </w:p>
    <w:p w14:paraId="050A7943" w14:textId="77777777" w:rsidR="0007526F" w:rsidRPr="0007526F" w:rsidRDefault="0007526F" w:rsidP="0007526F">
      <w:pPr>
        <w:pBdr>
          <w:top w:val="nil"/>
          <w:left w:val="nil"/>
          <w:bottom w:val="nil"/>
          <w:right w:val="nil"/>
          <w:between w:val="nil"/>
          <w:bar w:val="nil"/>
        </w:pBdr>
        <w:tabs>
          <w:tab w:val="left" w:pos="1440"/>
        </w:tabs>
        <w:spacing w:after="0" w:line="240" w:lineRule="auto"/>
        <w:ind w:left="-27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Confirm updates to Firm’s Policies and Procedures Manual - Looking specifically at the addition of the new Marketing Rule updates implemented by Nov. 4, 2022.</w:t>
      </w:r>
    </w:p>
    <w:p w14:paraId="7DDAB882" w14:textId="77777777" w:rsidR="0007526F" w:rsidRPr="0007526F" w:rsidRDefault="0007526F" w:rsidP="0007526F">
      <w:pPr>
        <w:numPr>
          <w:ilvl w:val="0"/>
          <w:numId w:val="20"/>
        </w:numPr>
        <w:pBdr>
          <w:top w:val="nil"/>
          <w:left w:val="nil"/>
          <w:bottom w:val="nil"/>
          <w:right w:val="nil"/>
          <w:between w:val="nil"/>
          <w:bar w:val="nil"/>
        </w:pBdr>
        <w:tabs>
          <w:tab w:val="left" w:pos="1440"/>
        </w:tabs>
        <w:spacing w:after="0" w:line="240" w:lineRule="auto"/>
        <w:ind w:left="9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b/>
          <w:bCs/>
          <w:i w:val="0"/>
          <w:iCs w:val="0"/>
          <w:color w:val="C00000"/>
          <w:kern w:val="20"/>
          <w:sz w:val="21"/>
          <w:szCs w:val="21"/>
          <w:u w:color="000000"/>
          <w:bdr w:val="nil"/>
          <w:lang w:val="en-US" w:eastAsia="zh-CN" w:bidi="hi-IN"/>
        </w:rPr>
        <w:t>Refer to November 2022 TMIC, January 2022 TMIC, August 2022 TMIC</w:t>
      </w:r>
    </w:p>
    <w:p w14:paraId="4AE543C5" w14:textId="77777777" w:rsidR="0007526F" w:rsidRPr="0007526F" w:rsidRDefault="0007526F" w:rsidP="0007526F">
      <w:pPr>
        <w:pBdr>
          <w:top w:val="nil"/>
          <w:left w:val="nil"/>
          <w:bottom w:val="nil"/>
          <w:right w:val="nil"/>
          <w:between w:val="nil"/>
          <w:bar w:val="nil"/>
        </w:pBdr>
        <w:tabs>
          <w:tab w:val="left" w:pos="1440"/>
        </w:tabs>
        <w:spacing w:after="0" w:line="240" w:lineRule="auto"/>
        <w:ind w:left="-270"/>
        <w:rPr>
          <w:rFonts w:ascii="Calibri" w:eastAsia="Calibri" w:hAnsi="Calibri" w:cs="Calibri"/>
          <w:i w:val="0"/>
          <w:iCs w:val="0"/>
          <w:color w:val="000000"/>
          <w:kern w:val="20"/>
          <w:sz w:val="21"/>
          <w:szCs w:val="21"/>
          <w:u w:color="000000"/>
          <w:bdr w:val="nil"/>
          <w:lang w:val="en-US" w:eastAsia="zh-CN" w:bidi="hi-IN"/>
        </w:rPr>
      </w:pPr>
    </w:p>
    <w:p w14:paraId="5865AFD0" w14:textId="77777777" w:rsidR="0007526F" w:rsidRPr="0007526F" w:rsidRDefault="0007526F" w:rsidP="0007526F">
      <w:pPr>
        <w:numPr>
          <w:ilvl w:val="0"/>
          <w:numId w:val="13"/>
        </w:numPr>
        <w:pBdr>
          <w:top w:val="nil"/>
          <w:left w:val="nil"/>
          <w:bottom w:val="nil"/>
          <w:right w:val="nil"/>
          <w:between w:val="nil"/>
          <w:bar w:val="nil"/>
        </w:pBdr>
        <w:spacing w:after="0" w:line="240" w:lineRule="auto"/>
        <w:ind w:left="-27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b/>
          <w:bCs/>
          <w:i w:val="0"/>
          <w:iCs w:val="0"/>
          <w:color w:val="000000"/>
          <w:kern w:val="20"/>
          <w:sz w:val="21"/>
          <w:szCs w:val="21"/>
          <w:u w:color="000000"/>
          <w:bdr w:val="nil"/>
          <w:lang w:val="en-US" w:eastAsia="zh-CN" w:bidi="hi-IN"/>
        </w:rPr>
        <w:t>BUSINESS CONTINUITY PLAN (BCP)</w:t>
      </w:r>
    </w:p>
    <w:p w14:paraId="501690D5" w14:textId="77777777" w:rsidR="0007526F" w:rsidRPr="0007526F" w:rsidRDefault="0007526F" w:rsidP="0007526F">
      <w:pPr>
        <w:pBdr>
          <w:top w:val="nil"/>
          <w:left w:val="nil"/>
          <w:bottom w:val="nil"/>
          <w:right w:val="nil"/>
          <w:between w:val="nil"/>
          <w:bar w:val="nil"/>
        </w:pBdr>
        <w:spacing w:after="0" w:line="240" w:lineRule="auto"/>
        <w:ind w:left="-27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 xml:space="preserve">Confirm the testing and documentation of the Business Continuity Plan (BCP) with any updates. </w:t>
      </w:r>
    </w:p>
    <w:p w14:paraId="0CBF2628" w14:textId="77777777" w:rsidR="0007526F" w:rsidRPr="0007526F" w:rsidRDefault="0007526F" w:rsidP="0007526F">
      <w:pPr>
        <w:numPr>
          <w:ilvl w:val="0"/>
          <w:numId w:val="20"/>
        </w:numPr>
        <w:pBdr>
          <w:top w:val="nil"/>
          <w:left w:val="nil"/>
          <w:bottom w:val="nil"/>
          <w:right w:val="nil"/>
          <w:between w:val="nil"/>
          <w:bar w:val="nil"/>
        </w:pBdr>
        <w:spacing w:after="0" w:line="240" w:lineRule="auto"/>
        <w:ind w:left="9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b/>
          <w:bCs/>
          <w:i w:val="0"/>
          <w:iCs w:val="0"/>
          <w:color w:val="C00000"/>
          <w:kern w:val="20"/>
          <w:sz w:val="21"/>
          <w:szCs w:val="21"/>
          <w:u w:color="000000"/>
          <w:bdr w:val="nil"/>
          <w:lang w:val="en-US" w:eastAsia="zh-CN" w:bidi="hi-IN"/>
        </w:rPr>
        <w:t>Refer to August TMIC 2022</w:t>
      </w:r>
    </w:p>
    <w:p w14:paraId="1C2779CA" w14:textId="77777777" w:rsidR="0007526F" w:rsidRPr="0007526F" w:rsidRDefault="0007526F" w:rsidP="0007526F">
      <w:pPr>
        <w:pBdr>
          <w:top w:val="nil"/>
          <w:left w:val="nil"/>
          <w:bottom w:val="nil"/>
          <w:right w:val="nil"/>
          <w:between w:val="nil"/>
          <w:bar w:val="nil"/>
        </w:pBdr>
        <w:spacing w:after="0" w:line="240" w:lineRule="auto"/>
        <w:ind w:left="-270"/>
        <w:rPr>
          <w:rFonts w:ascii="Calibri" w:eastAsia="Calibri" w:hAnsi="Calibri" w:cs="Calibri"/>
          <w:i w:val="0"/>
          <w:iCs w:val="0"/>
          <w:color w:val="000000"/>
          <w:kern w:val="20"/>
          <w:sz w:val="21"/>
          <w:szCs w:val="21"/>
          <w:u w:color="000000"/>
          <w:bdr w:val="nil"/>
          <w:lang w:val="en-US" w:eastAsia="zh-CN" w:bidi="hi-IN"/>
        </w:rPr>
      </w:pPr>
    </w:p>
    <w:p w14:paraId="31780922" w14:textId="77777777" w:rsidR="0007526F" w:rsidRPr="0007526F" w:rsidRDefault="0007526F" w:rsidP="0007526F">
      <w:pPr>
        <w:numPr>
          <w:ilvl w:val="0"/>
          <w:numId w:val="13"/>
        </w:numPr>
        <w:pBdr>
          <w:top w:val="nil"/>
          <w:left w:val="nil"/>
          <w:bottom w:val="nil"/>
          <w:right w:val="nil"/>
          <w:between w:val="nil"/>
          <w:bar w:val="nil"/>
        </w:pBdr>
        <w:spacing w:after="0" w:line="240" w:lineRule="auto"/>
        <w:ind w:left="-27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b/>
          <w:bCs/>
          <w:i w:val="0"/>
          <w:iCs w:val="0"/>
          <w:color w:val="000000"/>
          <w:kern w:val="20"/>
          <w:sz w:val="21"/>
          <w:szCs w:val="21"/>
          <w:u w:color="000000"/>
          <w:bdr w:val="nil"/>
          <w:lang w:val="en-US" w:eastAsia="zh-CN" w:bidi="hi-IN"/>
        </w:rPr>
        <w:t>CYBERSECURITY PLAN</w:t>
      </w:r>
    </w:p>
    <w:p w14:paraId="65033384" w14:textId="77777777" w:rsidR="0007526F" w:rsidRPr="0007526F" w:rsidRDefault="0007526F" w:rsidP="0007526F">
      <w:pPr>
        <w:pBdr>
          <w:top w:val="nil"/>
          <w:left w:val="nil"/>
          <w:bottom w:val="nil"/>
          <w:right w:val="nil"/>
          <w:between w:val="nil"/>
          <w:bar w:val="nil"/>
        </w:pBdr>
        <w:spacing w:after="0" w:line="240" w:lineRule="auto"/>
        <w:ind w:left="-27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Confirm review and testing of the Cybersecurity Plan Review in 2022:</w:t>
      </w:r>
    </w:p>
    <w:p w14:paraId="46DC4ACF" w14:textId="77777777" w:rsidR="0007526F" w:rsidRPr="0007526F" w:rsidRDefault="0007526F" w:rsidP="0007526F">
      <w:pPr>
        <w:numPr>
          <w:ilvl w:val="1"/>
          <w:numId w:val="13"/>
        </w:numPr>
        <w:pBdr>
          <w:top w:val="nil"/>
          <w:left w:val="nil"/>
          <w:bottom w:val="nil"/>
          <w:right w:val="nil"/>
          <w:between w:val="nil"/>
          <w:bar w:val="nil"/>
        </w:pBdr>
        <w:spacing w:after="0" w:line="240" w:lineRule="auto"/>
        <w:ind w:left="45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Review of Written cybersecurity policies and procedures</w:t>
      </w:r>
    </w:p>
    <w:p w14:paraId="0C2ECAB5" w14:textId="77777777" w:rsidR="0007526F" w:rsidRPr="0007526F" w:rsidRDefault="0007526F" w:rsidP="0007526F">
      <w:pPr>
        <w:numPr>
          <w:ilvl w:val="1"/>
          <w:numId w:val="13"/>
        </w:numPr>
        <w:pBdr>
          <w:top w:val="nil"/>
          <w:left w:val="nil"/>
          <w:bottom w:val="nil"/>
          <w:right w:val="nil"/>
          <w:between w:val="nil"/>
          <w:bar w:val="nil"/>
        </w:pBdr>
        <w:spacing w:after="0" w:line="240" w:lineRule="auto"/>
        <w:ind w:left="45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Maintenance of a written incident response plan if an event would occur</w:t>
      </w:r>
    </w:p>
    <w:p w14:paraId="7A233D9E" w14:textId="77777777" w:rsidR="0007526F" w:rsidRPr="0007526F" w:rsidRDefault="0007526F" w:rsidP="0007526F">
      <w:pPr>
        <w:numPr>
          <w:ilvl w:val="1"/>
          <w:numId w:val="13"/>
        </w:numPr>
        <w:pBdr>
          <w:top w:val="nil"/>
          <w:left w:val="nil"/>
          <w:bottom w:val="nil"/>
          <w:right w:val="nil"/>
          <w:between w:val="nil"/>
          <w:bar w:val="nil"/>
        </w:pBdr>
        <w:spacing w:after="0" w:line="240" w:lineRule="auto"/>
        <w:ind w:left="45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Review security levels of personal computers and home wireless connections</w:t>
      </w:r>
    </w:p>
    <w:p w14:paraId="34FFDB9F" w14:textId="77777777" w:rsidR="0007526F" w:rsidRPr="0007526F" w:rsidRDefault="0007526F" w:rsidP="0007526F">
      <w:pPr>
        <w:numPr>
          <w:ilvl w:val="1"/>
          <w:numId w:val="13"/>
        </w:numPr>
        <w:pBdr>
          <w:top w:val="nil"/>
          <w:left w:val="nil"/>
          <w:bottom w:val="nil"/>
          <w:right w:val="nil"/>
          <w:between w:val="nil"/>
          <w:bar w:val="nil"/>
        </w:pBdr>
        <w:spacing w:after="0" w:line="240" w:lineRule="auto"/>
        <w:ind w:left="45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Document results of Penetration and Phishing tests</w:t>
      </w:r>
    </w:p>
    <w:p w14:paraId="56993B1A" w14:textId="77777777" w:rsidR="0007526F" w:rsidRPr="0007526F" w:rsidRDefault="0007526F" w:rsidP="0007526F">
      <w:pPr>
        <w:numPr>
          <w:ilvl w:val="0"/>
          <w:numId w:val="20"/>
        </w:numPr>
        <w:pBdr>
          <w:top w:val="nil"/>
          <w:left w:val="nil"/>
          <w:bottom w:val="nil"/>
          <w:right w:val="nil"/>
          <w:between w:val="nil"/>
          <w:bar w:val="nil"/>
        </w:pBdr>
        <w:spacing w:after="0" w:line="240" w:lineRule="auto"/>
        <w:ind w:left="90"/>
        <w:rPr>
          <w:rFonts w:ascii="Calibri" w:eastAsia="Calibri" w:hAnsi="Calibri" w:cs="Calibri"/>
          <w:b/>
          <w:bCs/>
          <w:i w:val="0"/>
          <w:iCs w:val="0"/>
          <w:color w:val="C00000"/>
          <w:kern w:val="20"/>
          <w:sz w:val="21"/>
          <w:szCs w:val="21"/>
          <w:u w:color="000000"/>
          <w:bdr w:val="nil"/>
          <w:lang w:val="en-US" w:eastAsia="zh-CN" w:bidi="hi-IN"/>
        </w:rPr>
      </w:pPr>
      <w:r w:rsidRPr="0007526F">
        <w:rPr>
          <w:rFonts w:ascii="Calibri" w:eastAsia="Calibri" w:hAnsi="Calibri" w:cs="Calibri"/>
          <w:b/>
          <w:bCs/>
          <w:i w:val="0"/>
          <w:iCs w:val="0"/>
          <w:color w:val="C00000"/>
          <w:kern w:val="20"/>
          <w:sz w:val="21"/>
          <w:szCs w:val="21"/>
          <w:u w:color="000000"/>
          <w:bdr w:val="nil"/>
          <w:lang w:val="en-US" w:eastAsia="zh-CN" w:bidi="hi-IN"/>
        </w:rPr>
        <w:t>Refer to March 2022 TMR</w:t>
      </w:r>
    </w:p>
    <w:p w14:paraId="4F7D3434" w14:textId="77777777" w:rsidR="0007526F" w:rsidRPr="0007526F" w:rsidRDefault="0007526F" w:rsidP="0007526F">
      <w:pPr>
        <w:pBdr>
          <w:top w:val="nil"/>
          <w:left w:val="nil"/>
          <w:bottom w:val="nil"/>
          <w:right w:val="nil"/>
          <w:between w:val="nil"/>
          <w:bar w:val="nil"/>
        </w:pBdr>
        <w:spacing w:after="0" w:line="240" w:lineRule="auto"/>
        <w:ind w:left="-270"/>
        <w:rPr>
          <w:rFonts w:ascii="Calibri" w:eastAsia="Calibri" w:hAnsi="Calibri" w:cs="Calibri"/>
          <w:b/>
          <w:bCs/>
          <w:i w:val="0"/>
          <w:iCs w:val="0"/>
          <w:color w:val="C00000"/>
          <w:kern w:val="20"/>
          <w:sz w:val="21"/>
          <w:szCs w:val="21"/>
          <w:u w:color="000000"/>
          <w:bdr w:val="nil"/>
          <w:lang w:val="en-US" w:eastAsia="zh-CN" w:bidi="hi-IN"/>
        </w:rPr>
      </w:pPr>
    </w:p>
    <w:p w14:paraId="11488DFA" w14:textId="77777777" w:rsidR="0007526F" w:rsidRPr="0007526F" w:rsidRDefault="0007526F" w:rsidP="0007526F">
      <w:pPr>
        <w:numPr>
          <w:ilvl w:val="0"/>
          <w:numId w:val="13"/>
        </w:numPr>
        <w:pBdr>
          <w:top w:val="nil"/>
          <w:left w:val="nil"/>
          <w:bottom w:val="nil"/>
          <w:right w:val="nil"/>
          <w:between w:val="nil"/>
          <w:bar w:val="nil"/>
        </w:pBdr>
        <w:spacing w:after="0" w:line="240" w:lineRule="auto"/>
        <w:ind w:left="-270" w:right="450"/>
        <w:rPr>
          <w:rFonts w:ascii="Calibri" w:eastAsia="Times New Roman" w:hAnsi="Calibri" w:cs="Calibri"/>
          <w:i w:val="0"/>
          <w:iCs w:val="0"/>
          <w:color w:val="333333"/>
          <w:kern w:val="20"/>
          <w:sz w:val="21"/>
          <w:szCs w:val="21"/>
          <w:u w:color="000000"/>
          <w:bdr w:val="nil"/>
          <w:lang w:val="en-US" w:eastAsia="zh-CN" w:bidi="hi-IN"/>
        </w:rPr>
      </w:pPr>
      <w:r w:rsidRPr="0007526F">
        <w:rPr>
          <w:rFonts w:ascii="Calibri" w:eastAsia="Calibri" w:hAnsi="Calibri" w:cs="Calibri"/>
          <w:b/>
          <w:bCs/>
          <w:i w:val="0"/>
          <w:iCs w:val="0"/>
          <w:color w:val="000000"/>
          <w:kern w:val="20"/>
          <w:sz w:val="21"/>
          <w:szCs w:val="21"/>
          <w:u w:color="000000"/>
          <w:bdr w:val="nil"/>
          <w:lang w:val="en-US" w:eastAsia="zh-CN" w:bidi="hi-IN"/>
        </w:rPr>
        <w:t>IRA ROLLOVERS AND TRANSFERS</w:t>
      </w:r>
    </w:p>
    <w:p w14:paraId="277B768E" w14:textId="77777777" w:rsidR="0007526F" w:rsidRPr="0007526F" w:rsidRDefault="0007526F" w:rsidP="0007526F">
      <w:pPr>
        <w:pBdr>
          <w:top w:val="nil"/>
          <w:left w:val="nil"/>
          <w:bottom w:val="nil"/>
          <w:right w:val="nil"/>
          <w:between w:val="nil"/>
          <w:bar w:val="nil"/>
        </w:pBdr>
        <w:spacing w:after="0" w:line="240" w:lineRule="auto"/>
        <w:ind w:left="-270" w:right="45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 xml:space="preserve">Review of </w:t>
      </w:r>
      <w:r w:rsidRPr="0007526F">
        <w:rPr>
          <w:rFonts w:ascii="Calibri" w:eastAsia="Calibri" w:hAnsi="Calibri" w:cs="Calibri"/>
          <w:b/>
          <w:bCs/>
          <w:i w:val="0"/>
          <w:iCs w:val="0"/>
          <w:color w:val="000000"/>
          <w:kern w:val="20"/>
          <w:sz w:val="21"/>
          <w:szCs w:val="21"/>
          <w:u w:color="000000"/>
          <w:bdr w:val="nil"/>
          <w:lang w:val="en-US" w:eastAsia="zh-CN" w:bidi="hi-IN"/>
        </w:rPr>
        <w:t>IRA Rollovers and transfers to comply with the June 30</w:t>
      </w:r>
      <w:r w:rsidRPr="0007526F">
        <w:rPr>
          <w:rFonts w:ascii="Calibri" w:eastAsia="Calibri" w:hAnsi="Calibri" w:cs="Calibri"/>
          <w:b/>
          <w:bCs/>
          <w:i w:val="0"/>
          <w:iCs w:val="0"/>
          <w:color w:val="000000"/>
          <w:kern w:val="20"/>
          <w:sz w:val="21"/>
          <w:szCs w:val="21"/>
          <w:u w:color="000000"/>
          <w:bdr w:val="nil"/>
          <w:vertAlign w:val="superscript"/>
          <w:lang w:val="en-US" w:eastAsia="zh-CN" w:bidi="hi-IN"/>
        </w:rPr>
        <w:t>th</w:t>
      </w:r>
      <w:r w:rsidRPr="0007526F">
        <w:rPr>
          <w:rFonts w:ascii="Calibri" w:eastAsia="Calibri" w:hAnsi="Calibri" w:cs="Calibri"/>
          <w:b/>
          <w:bCs/>
          <w:i w:val="0"/>
          <w:iCs w:val="0"/>
          <w:color w:val="000000"/>
          <w:kern w:val="20"/>
          <w:sz w:val="21"/>
          <w:szCs w:val="21"/>
          <w:u w:color="000000"/>
          <w:bdr w:val="nil"/>
          <w:lang w:val="en-US" w:eastAsia="zh-CN" w:bidi="hi-IN"/>
        </w:rPr>
        <w:t xml:space="preserve"> DOL PTE 2020</w:t>
      </w:r>
    </w:p>
    <w:p w14:paraId="467FEB0B" w14:textId="77777777" w:rsidR="0007526F" w:rsidRPr="0007526F" w:rsidRDefault="0007526F" w:rsidP="0007526F">
      <w:pPr>
        <w:pBdr>
          <w:top w:val="nil"/>
          <w:left w:val="nil"/>
          <w:bottom w:val="nil"/>
          <w:right w:val="nil"/>
          <w:between w:val="nil"/>
          <w:bar w:val="nil"/>
        </w:pBdr>
        <w:spacing w:after="0" w:line="240" w:lineRule="auto"/>
        <w:ind w:left="-270" w:right="450"/>
        <w:rPr>
          <w:rFonts w:ascii="Calibri" w:eastAsia="Times New Roman" w:hAnsi="Calibri" w:cs="Calibri"/>
          <w:i w:val="0"/>
          <w:iCs w:val="0"/>
          <w:color w:val="333333"/>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Prepare for Senior Retroactive Review (Part of the requirements)</w:t>
      </w:r>
    </w:p>
    <w:p w14:paraId="3468ED72" w14:textId="77777777" w:rsidR="0007526F" w:rsidRPr="0007526F" w:rsidRDefault="0007526F" w:rsidP="0007526F">
      <w:pPr>
        <w:numPr>
          <w:ilvl w:val="0"/>
          <w:numId w:val="20"/>
        </w:numPr>
        <w:pBdr>
          <w:top w:val="nil"/>
          <w:left w:val="nil"/>
          <w:bottom w:val="nil"/>
          <w:right w:val="nil"/>
          <w:between w:val="nil"/>
          <w:bar w:val="nil"/>
        </w:pBdr>
        <w:spacing w:after="0" w:line="240" w:lineRule="auto"/>
        <w:ind w:left="90"/>
        <w:rPr>
          <w:rFonts w:ascii="Calibri" w:eastAsia="Calibri" w:hAnsi="Calibri" w:cs="Calibri"/>
          <w:b/>
          <w:bCs/>
          <w:i w:val="0"/>
          <w:iCs w:val="0"/>
          <w:color w:val="C00000"/>
          <w:kern w:val="20"/>
          <w:sz w:val="21"/>
          <w:szCs w:val="21"/>
          <w:u w:color="000000"/>
          <w:bdr w:val="nil"/>
          <w:lang w:val="en-US" w:eastAsia="zh-CN" w:bidi="hi-IN"/>
        </w:rPr>
      </w:pPr>
      <w:r w:rsidRPr="0007526F">
        <w:rPr>
          <w:rFonts w:ascii="Calibri" w:eastAsia="Calibri" w:hAnsi="Calibri" w:cs="Calibri"/>
          <w:b/>
          <w:bCs/>
          <w:i w:val="0"/>
          <w:iCs w:val="0"/>
          <w:color w:val="C00000"/>
          <w:kern w:val="20"/>
          <w:sz w:val="21"/>
          <w:szCs w:val="21"/>
          <w:u w:color="000000"/>
          <w:bdr w:val="nil"/>
          <w:lang w:val="en-US" w:eastAsia="zh-CN" w:bidi="hi-IN"/>
        </w:rPr>
        <w:t>Refer to February 2022 TMIC, December 2022 TMIC for Sample Senior Review template</w:t>
      </w:r>
    </w:p>
    <w:p w14:paraId="386A1032" w14:textId="77777777" w:rsidR="0007526F" w:rsidRPr="0007526F" w:rsidRDefault="0007526F" w:rsidP="0007526F">
      <w:pPr>
        <w:pBdr>
          <w:top w:val="nil"/>
          <w:left w:val="nil"/>
          <w:bottom w:val="nil"/>
          <w:right w:val="nil"/>
          <w:between w:val="nil"/>
          <w:bar w:val="nil"/>
        </w:pBdr>
        <w:spacing w:after="0" w:line="240" w:lineRule="auto"/>
        <w:ind w:left="-270"/>
        <w:rPr>
          <w:rFonts w:ascii="Calibri" w:eastAsia="Calibri" w:hAnsi="Calibri" w:cs="Calibri"/>
          <w:b/>
          <w:bCs/>
          <w:i w:val="0"/>
          <w:iCs w:val="0"/>
          <w:color w:val="C00000"/>
          <w:kern w:val="20"/>
          <w:sz w:val="21"/>
          <w:szCs w:val="21"/>
          <w:u w:color="000000"/>
          <w:bdr w:val="nil"/>
          <w:lang w:val="en-US" w:eastAsia="zh-CN" w:bidi="hi-IN"/>
        </w:rPr>
      </w:pPr>
    </w:p>
    <w:p w14:paraId="57FC2993" w14:textId="77777777" w:rsidR="0007526F" w:rsidRPr="0007526F" w:rsidRDefault="0007526F" w:rsidP="0007526F">
      <w:pPr>
        <w:numPr>
          <w:ilvl w:val="0"/>
          <w:numId w:val="13"/>
        </w:numPr>
        <w:pBdr>
          <w:top w:val="nil"/>
          <w:left w:val="nil"/>
          <w:bottom w:val="nil"/>
          <w:right w:val="nil"/>
          <w:between w:val="nil"/>
          <w:bar w:val="nil"/>
        </w:pBdr>
        <w:spacing w:after="0" w:line="240" w:lineRule="auto"/>
        <w:ind w:left="-27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b/>
          <w:bCs/>
          <w:i w:val="0"/>
          <w:iCs w:val="0"/>
          <w:color w:val="000000"/>
          <w:kern w:val="20"/>
          <w:sz w:val="21"/>
          <w:szCs w:val="21"/>
          <w:u w:color="000000"/>
          <w:bdr w:val="nil"/>
          <w:lang w:val="en-US" w:eastAsia="zh-CN" w:bidi="hi-IN"/>
        </w:rPr>
        <w:t>NEW MARKETING RULE</w:t>
      </w:r>
    </w:p>
    <w:p w14:paraId="7FD3DD51" w14:textId="77777777" w:rsidR="0007526F" w:rsidRPr="0007526F" w:rsidRDefault="0007526F" w:rsidP="0007526F">
      <w:pPr>
        <w:pBdr>
          <w:top w:val="nil"/>
          <w:left w:val="nil"/>
          <w:bottom w:val="nil"/>
          <w:right w:val="nil"/>
          <w:between w:val="nil"/>
          <w:bar w:val="nil"/>
        </w:pBdr>
        <w:spacing w:after="0" w:line="240" w:lineRule="auto"/>
        <w:ind w:left="-27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Verify documentation and implementation is complete, effective Nov 4, 2022.</w:t>
      </w:r>
    </w:p>
    <w:p w14:paraId="7DDE625C" w14:textId="77777777" w:rsidR="0007526F" w:rsidRPr="0007526F" w:rsidRDefault="0007526F" w:rsidP="0007526F">
      <w:pPr>
        <w:numPr>
          <w:ilvl w:val="0"/>
          <w:numId w:val="21"/>
        </w:numPr>
        <w:pBdr>
          <w:top w:val="nil"/>
          <w:left w:val="nil"/>
          <w:bottom w:val="nil"/>
          <w:right w:val="nil"/>
          <w:between w:val="nil"/>
          <w:bar w:val="nil"/>
        </w:pBdr>
        <w:spacing w:after="0" w:line="240" w:lineRule="auto"/>
        <w:ind w:left="45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 xml:space="preserve">Have compliance procedures been adopted/updated with respect to the newly adopted Advisers Act “Marketing Rule.”? </w:t>
      </w:r>
    </w:p>
    <w:p w14:paraId="57706007" w14:textId="77777777" w:rsidR="0007526F" w:rsidRPr="0007526F" w:rsidRDefault="0007526F" w:rsidP="0007526F">
      <w:pPr>
        <w:numPr>
          <w:ilvl w:val="0"/>
          <w:numId w:val="21"/>
        </w:numPr>
        <w:pBdr>
          <w:top w:val="nil"/>
          <w:left w:val="nil"/>
          <w:bottom w:val="nil"/>
          <w:right w:val="nil"/>
          <w:between w:val="nil"/>
          <w:bar w:val="nil"/>
        </w:pBdr>
        <w:spacing w:after="0" w:line="240" w:lineRule="auto"/>
        <w:ind w:left="45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 xml:space="preserve">Are IARs aware of the review and approval process regarding advertising/marketing materials presented to current and/or prospective clients? Is our Firm using the new updated Review </w:t>
      </w:r>
      <w:proofErr w:type="gramStart"/>
      <w:r w:rsidRPr="0007526F">
        <w:rPr>
          <w:rFonts w:ascii="Calibri" w:eastAsia="Calibri" w:hAnsi="Calibri" w:cs="Calibri"/>
          <w:i w:val="0"/>
          <w:iCs w:val="0"/>
          <w:color w:val="000000"/>
          <w:kern w:val="20"/>
          <w:sz w:val="21"/>
          <w:szCs w:val="21"/>
          <w:u w:color="000000"/>
          <w:bdr w:val="nil"/>
          <w:lang w:val="en-US" w:eastAsia="zh-CN" w:bidi="hi-IN"/>
        </w:rPr>
        <w:t>Checklist?</w:t>
      </w:r>
      <w:r w:rsidRPr="0007526F">
        <w:rPr>
          <w:rFonts w:ascii="Calibri" w:eastAsia="Calibri" w:hAnsi="Calibri" w:cs="Calibri"/>
          <w:i w:val="0"/>
          <w:iCs w:val="0"/>
          <w:kern w:val="20"/>
          <w:sz w:val="21"/>
          <w:szCs w:val="21"/>
          <w:u w:color="000000"/>
          <w:bdr w:val="nil"/>
          <w:lang w:val="en-US" w:eastAsia="zh-CN" w:bidi="hi-IN"/>
        </w:rPr>
        <w:t>.</w:t>
      </w:r>
      <w:proofErr w:type="gramEnd"/>
    </w:p>
    <w:p w14:paraId="0D20C915" w14:textId="77777777" w:rsidR="0007526F" w:rsidRPr="0007526F" w:rsidRDefault="0007526F" w:rsidP="0007526F">
      <w:pPr>
        <w:numPr>
          <w:ilvl w:val="0"/>
          <w:numId w:val="21"/>
        </w:numPr>
        <w:pBdr>
          <w:top w:val="nil"/>
          <w:left w:val="nil"/>
          <w:bottom w:val="nil"/>
          <w:right w:val="nil"/>
          <w:between w:val="nil"/>
          <w:bar w:val="nil"/>
        </w:pBdr>
        <w:spacing w:after="0" w:line="240" w:lineRule="auto"/>
        <w:ind w:left="45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Is your Firm ensuring the review of substantiating material statements of fact made in its advertising materials?</w:t>
      </w:r>
    </w:p>
    <w:p w14:paraId="3DCEEA9E" w14:textId="77777777" w:rsidR="0007526F" w:rsidRPr="0007526F" w:rsidRDefault="0007526F" w:rsidP="0007526F">
      <w:pPr>
        <w:numPr>
          <w:ilvl w:val="0"/>
          <w:numId w:val="21"/>
        </w:numPr>
        <w:pBdr>
          <w:top w:val="nil"/>
          <w:left w:val="nil"/>
          <w:bottom w:val="nil"/>
          <w:right w:val="nil"/>
          <w:between w:val="nil"/>
          <w:bar w:val="nil"/>
        </w:pBdr>
        <w:spacing w:after="0" w:line="240" w:lineRule="auto"/>
        <w:ind w:left="45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 xml:space="preserve">Did your Firm conduct training </w:t>
      </w:r>
      <w:proofErr w:type="gramStart"/>
      <w:r w:rsidRPr="0007526F">
        <w:rPr>
          <w:rFonts w:ascii="Calibri" w:eastAsia="Calibri" w:hAnsi="Calibri" w:cs="Calibri"/>
          <w:i w:val="0"/>
          <w:iCs w:val="0"/>
          <w:color w:val="000000"/>
          <w:kern w:val="20"/>
          <w:sz w:val="21"/>
          <w:szCs w:val="21"/>
          <w:u w:color="000000"/>
          <w:bdr w:val="nil"/>
          <w:lang w:val="en-US" w:eastAsia="zh-CN" w:bidi="hi-IN"/>
        </w:rPr>
        <w:t>to</w:t>
      </w:r>
      <w:proofErr w:type="gramEnd"/>
      <w:r w:rsidRPr="0007526F">
        <w:rPr>
          <w:rFonts w:ascii="Calibri" w:eastAsia="Calibri" w:hAnsi="Calibri" w:cs="Calibri"/>
          <w:i w:val="0"/>
          <w:iCs w:val="0"/>
          <w:color w:val="000000"/>
          <w:kern w:val="20"/>
          <w:sz w:val="21"/>
          <w:szCs w:val="21"/>
          <w:u w:color="000000"/>
          <w:bdr w:val="nil"/>
          <w:lang w:val="en-US" w:eastAsia="zh-CN" w:bidi="hi-IN"/>
        </w:rPr>
        <w:t xml:space="preserve"> staff relating to the new Marketing Rule?  SEC will ask for relevant training materials (e.g., presentations, handouts, etc.).   </w:t>
      </w:r>
    </w:p>
    <w:p w14:paraId="460B8DE2" w14:textId="77777777" w:rsidR="0007526F" w:rsidRPr="0007526F" w:rsidRDefault="0007526F" w:rsidP="0007526F">
      <w:pPr>
        <w:numPr>
          <w:ilvl w:val="0"/>
          <w:numId w:val="21"/>
        </w:numPr>
        <w:pBdr>
          <w:top w:val="nil"/>
          <w:left w:val="nil"/>
          <w:bottom w:val="nil"/>
          <w:right w:val="nil"/>
          <w:between w:val="nil"/>
          <w:bar w:val="nil"/>
        </w:pBdr>
        <w:spacing w:after="0" w:line="240" w:lineRule="auto"/>
        <w:ind w:left="45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Is your Firm maintaining proper books and records related to advertising?</w:t>
      </w:r>
    </w:p>
    <w:p w14:paraId="444EF2D0" w14:textId="77777777" w:rsidR="0007526F" w:rsidRPr="0007526F" w:rsidRDefault="0007526F" w:rsidP="0007526F">
      <w:pPr>
        <w:numPr>
          <w:ilvl w:val="0"/>
          <w:numId w:val="22"/>
        </w:numPr>
        <w:pBdr>
          <w:top w:val="nil"/>
          <w:left w:val="nil"/>
          <w:bottom w:val="nil"/>
          <w:right w:val="nil"/>
          <w:between w:val="nil"/>
          <w:bar w:val="nil"/>
        </w:pBdr>
        <w:spacing w:after="0" w:line="240" w:lineRule="auto"/>
        <w:ind w:left="9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b/>
          <w:bCs/>
          <w:i w:val="0"/>
          <w:iCs w:val="0"/>
          <w:color w:val="C00000"/>
          <w:kern w:val="20"/>
          <w:sz w:val="21"/>
          <w:szCs w:val="21"/>
          <w:u w:color="000000"/>
          <w:bdr w:val="nil"/>
          <w:lang w:val="en-US" w:eastAsia="zh-CN" w:bidi="hi-IN"/>
        </w:rPr>
        <w:t>Refer to May, June, July, August 2022 TMIC &amp; TMR, Maintain your Marketing Rule Implementation Checklist</w:t>
      </w:r>
    </w:p>
    <w:p w14:paraId="23C5FBFE" w14:textId="77777777" w:rsidR="0007526F" w:rsidRPr="0007526F" w:rsidRDefault="0007526F" w:rsidP="0007526F">
      <w:pPr>
        <w:pBdr>
          <w:top w:val="nil"/>
          <w:left w:val="nil"/>
          <w:bottom w:val="nil"/>
          <w:right w:val="nil"/>
          <w:between w:val="nil"/>
          <w:bar w:val="nil"/>
        </w:pBdr>
        <w:spacing w:after="0" w:line="240" w:lineRule="auto"/>
        <w:rPr>
          <w:rFonts w:ascii="Calibri" w:eastAsia="Calibri" w:hAnsi="Calibri" w:cs="Calibri"/>
          <w:i w:val="0"/>
          <w:iCs w:val="0"/>
          <w:color w:val="000000"/>
          <w:kern w:val="20"/>
          <w:sz w:val="21"/>
          <w:szCs w:val="21"/>
          <w:highlight w:val="yellow"/>
          <w:u w:color="000000"/>
          <w:bdr w:val="nil"/>
          <w:lang w:val="en-US" w:eastAsia="zh-CN" w:bidi="hi-IN"/>
        </w:rPr>
      </w:pPr>
    </w:p>
    <w:p w14:paraId="7D60FE5C" w14:textId="77777777" w:rsidR="0007526F" w:rsidRPr="0007526F" w:rsidRDefault="0007526F" w:rsidP="0007526F">
      <w:pPr>
        <w:numPr>
          <w:ilvl w:val="0"/>
          <w:numId w:val="13"/>
        </w:numPr>
        <w:pBdr>
          <w:top w:val="nil"/>
          <w:left w:val="nil"/>
          <w:bottom w:val="nil"/>
          <w:right w:val="nil"/>
          <w:between w:val="nil"/>
          <w:bar w:val="nil"/>
        </w:pBdr>
        <w:spacing w:after="0" w:line="240" w:lineRule="auto"/>
        <w:ind w:left="-27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b/>
          <w:bCs/>
          <w:i w:val="0"/>
          <w:iCs w:val="0"/>
          <w:color w:val="000000"/>
          <w:kern w:val="20"/>
          <w:sz w:val="21"/>
          <w:szCs w:val="21"/>
          <w:u w:color="000000"/>
          <w:bdr w:val="nil"/>
          <w:lang w:val="en-US" w:eastAsia="zh-CN" w:bidi="hi-IN"/>
        </w:rPr>
        <w:t>DUE DILIGENCE CONDUCTED ON THIRD PARTY VENDORS</w:t>
      </w:r>
    </w:p>
    <w:p w14:paraId="0D0B0D61" w14:textId="77777777" w:rsidR="0007526F" w:rsidRPr="0007526F" w:rsidRDefault="0007526F" w:rsidP="0007526F">
      <w:pPr>
        <w:pBdr>
          <w:top w:val="nil"/>
          <w:left w:val="nil"/>
          <w:bottom w:val="nil"/>
          <w:right w:val="nil"/>
          <w:between w:val="nil"/>
          <w:bar w:val="nil"/>
        </w:pBdr>
        <w:spacing w:after="0" w:line="240" w:lineRule="auto"/>
        <w:ind w:left="-27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 xml:space="preserve">Reviewed Due Diligence conducted on Third Party vendors, maintain list, and updated as necessary. </w:t>
      </w:r>
    </w:p>
    <w:p w14:paraId="7C0D02C0" w14:textId="77777777" w:rsidR="0007526F" w:rsidRPr="0007526F" w:rsidRDefault="0007526F" w:rsidP="0007526F">
      <w:pPr>
        <w:numPr>
          <w:ilvl w:val="0"/>
          <w:numId w:val="22"/>
        </w:numPr>
        <w:pBdr>
          <w:top w:val="nil"/>
          <w:left w:val="nil"/>
          <w:bottom w:val="nil"/>
          <w:right w:val="nil"/>
          <w:between w:val="nil"/>
          <w:bar w:val="nil"/>
        </w:pBdr>
        <w:spacing w:after="0" w:line="240" w:lineRule="auto"/>
        <w:ind w:left="90"/>
        <w:rPr>
          <w:rFonts w:ascii="Calibri" w:eastAsia="Calibri" w:hAnsi="Calibri" w:cs="Calibri"/>
          <w:b/>
          <w:bCs/>
          <w:i w:val="0"/>
          <w:iCs w:val="0"/>
          <w:color w:val="C00000"/>
          <w:kern w:val="20"/>
          <w:sz w:val="21"/>
          <w:szCs w:val="21"/>
          <w:u w:color="000000"/>
          <w:bdr w:val="nil"/>
          <w:lang w:val="en-US" w:eastAsia="zh-CN" w:bidi="hi-IN"/>
        </w:rPr>
      </w:pPr>
      <w:r w:rsidRPr="0007526F">
        <w:rPr>
          <w:rFonts w:ascii="Calibri" w:eastAsia="Calibri" w:hAnsi="Calibri" w:cs="Calibri"/>
          <w:b/>
          <w:bCs/>
          <w:i w:val="0"/>
          <w:iCs w:val="0"/>
          <w:color w:val="C00000"/>
          <w:kern w:val="20"/>
          <w:sz w:val="21"/>
          <w:szCs w:val="21"/>
          <w:u w:color="000000"/>
          <w:bdr w:val="nil"/>
          <w:lang w:val="en-US" w:eastAsia="zh-CN" w:bidi="hi-IN"/>
        </w:rPr>
        <w:t>Refer to September 2022 TMIC</w:t>
      </w:r>
    </w:p>
    <w:p w14:paraId="1A2F68A7" w14:textId="77777777" w:rsidR="0007526F" w:rsidRPr="0007526F" w:rsidRDefault="0007526F" w:rsidP="0007526F">
      <w:pPr>
        <w:pBdr>
          <w:top w:val="nil"/>
          <w:left w:val="nil"/>
          <w:bottom w:val="nil"/>
          <w:right w:val="nil"/>
          <w:between w:val="nil"/>
          <w:bar w:val="nil"/>
        </w:pBdr>
        <w:spacing w:after="0" w:line="240" w:lineRule="auto"/>
        <w:ind w:left="90"/>
        <w:rPr>
          <w:rFonts w:ascii="Calibri" w:eastAsia="Calibri" w:hAnsi="Calibri" w:cs="Calibri"/>
          <w:b/>
          <w:bCs/>
          <w:i w:val="0"/>
          <w:iCs w:val="0"/>
          <w:color w:val="C00000"/>
          <w:kern w:val="20"/>
          <w:sz w:val="21"/>
          <w:szCs w:val="21"/>
          <w:u w:color="000000"/>
          <w:bdr w:val="nil"/>
          <w:lang w:val="en-US" w:eastAsia="zh-CN" w:bidi="hi-IN"/>
        </w:rPr>
      </w:pPr>
    </w:p>
    <w:p w14:paraId="27CE8D89" w14:textId="77777777" w:rsidR="0007526F" w:rsidRPr="0007526F" w:rsidRDefault="0007526F" w:rsidP="0007526F">
      <w:pPr>
        <w:pBdr>
          <w:top w:val="nil"/>
          <w:left w:val="nil"/>
          <w:bottom w:val="nil"/>
          <w:right w:val="nil"/>
          <w:between w:val="nil"/>
          <w:bar w:val="nil"/>
        </w:pBdr>
        <w:spacing w:after="0" w:line="240" w:lineRule="auto"/>
        <w:ind w:left="-270"/>
        <w:rPr>
          <w:rFonts w:ascii="Calibri" w:eastAsia="Calibri" w:hAnsi="Calibri" w:cs="Calibri"/>
          <w:i w:val="0"/>
          <w:iCs w:val="0"/>
          <w:color w:val="000000"/>
          <w:kern w:val="20"/>
          <w:sz w:val="21"/>
          <w:szCs w:val="21"/>
          <w:u w:color="000000"/>
          <w:bdr w:val="nil"/>
          <w:lang w:val="en-US" w:eastAsia="zh-CN" w:bidi="hi-IN"/>
        </w:rPr>
      </w:pPr>
    </w:p>
    <w:p w14:paraId="3A188375" w14:textId="77777777" w:rsidR="0007526F" w:rsidRPr="0007526F" w:rsidRDefault="0007526F" w:rsidP="0007526F">
      <w:pPr>
        <w:numPr>
          <w:ilvl w:val="0"/>
          <w:numId w:val="13"/>
        </w:numPr>
        <w:pBdr>
          <w:top w:val="nil"/>
          <w:left w:val="nil"/>
          <w:bottom w:val="nil"/>
          <w:right w:val="nil"/>
          <w:between w:val="nil"/>
          <w:bar w:val="nil"/>
        </w:pBdr>
        <w:spacing w:after="0" w:line="240" w:lineRule="auto"/>
        <w:ind w:left="-27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b/>
          <w:bCs/>
          <w:i w:val="0"/>
          <w:iCs w:val="0"/>
          <w:color w:val="000000"/>
          <w:kern w:val="20"/>
          <w:sz w:val="21"/>
          <w:szCs w:val="21"/>
          <w:u w:color="000000"/>
          <w:bdr w:val="nil"/>
          <w:lang w:val="en-US" w:eastAsia="zh-CN" w:bidi="hi-IN"/>
        </w:rPr>
        <w:t>ANNUAL COMPLIANCE MEETING</w:t>
      </w:r>
    </w:p>
    <w:p w14:paraId="5977EC4E" w14:textId="77777777" w:rsidR="0007526F" w:rsidRPr="0007526F" w:rsidRDefault="0007526F" w:rsidP="0007526F">
      <w:pPr>
        <w:pBdr>
          <w:top w:val="nil"/>
          <w:left w:val="nil"/>
          <w:bottom w:val="nil"/>
          <w:right w:val="nil"/>
          <w:between w:val="nil"/>
          <w:bar w:val="nil"/>
        </w:pBdr>
        <w:spacing w:after="0" w:line="240" w:lineRule="auto"/>
        <w:ind w:left="-27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 xml:space="preserve">Conducted training via Annual Compliance Meeting (Code of Ethics, Annual Employee Acknowledgements and Certifications, Annual Attestation of Personal Securities Holdings). </w:t>
      </w:r>
    </w:p>
    <w:p w14:paraId="68B14D24" w14:textId="77777777" w:rsidR="0007526F" w:rsidRPr="0007526F" w:rsidRDefault="0007526F" w:rsidP="0007526F">
      <w:pPr>
        <w:numPr>
          <w:ilvl w:val="0"/>
          <w:numId w:val="22"/>
        </w:numPr>
        <w:pBdr>
          <w:top w:val="nil"/>
          <w:left w:val="nil"/>
          <w:bottom w:val="nil"/>
          <w:right w:val="nil"/>
          <w:between w:val="nil"/>
          <w:bar w:val="nil"/>
        </w:pBdr>
        <w:spacing w:after="0" w:line="240" w:lineRule="auto"/>
        <w:ind w:left="90"/>
        <w:rPr>
          <w:rFonts w:ascii="Calibri" w:eastAsia="Calibri" w:hAnsi="Calibri" w:cs="Calibri"/>
          <w:b/>
          <w:bCs/>
          <w:i w:val="0"/>
          <w:iCs w:val="0"/>
          <w:color w:val="C00000"/>
          <w:kern w:val="20"/>
          <w:sz w:val="21"/>
          <w:szCs w:val="21"/>
          <w:u w:color="000000"/>
          <w:bdr w:val="nil"/>
          <w:lang w:val="en-US" w:eastAsia="zh-CN" w:bidi="hi-IN"/>
        </w:rPr>
      </w:pPr>
      <w:r w:rsidRPr="0007526F">
        <w:rPr>
          <w:rFonts w:ascii="Calibri" w:eastAsia="Calibri" w:hAnsi="Calibri" w:cs="Calibri"/>
          <w:b/>
          <w:bCs/>
          <w:i w:val="0"/>
          <w:iCs w:val="0"/>
          <w:color w:val="C00000"/>
          <w:kern w:val="20"/>
          <w:sz w:val="21"/>
          <w:szCs w:val="21"/>
          <w:u w:color="000000"/>
          <w:bdr w:val="nil"/>
          <w:lang w:val="en-US" w:eastAsia="zh-CN" w:bidi="hi-IN"/>
        </w:rPr>
        <w:t>Refer to October 2022 TMIC &amp; January 2022 for Attestation and Certifications</w:t>
      </w:r>
    </w:p>
    <w:p w14:paraId="74E951FD" w14:textId="77777777" w:rsidR="0007526F" w:rsidRPr="0007526F" w:rsidRDefault="0007526F" w:rsidP="0007526F">
      <w:pPr>
        <w:pBdr>
          <w:top w:val="nil"/>
          <w:left w:val="nil"/>
          <w:bottom w:val="nil"/>
          <w:right w:val="nil"/>
          <w:between w:val="nil"/>
          <w:bar w:val="nil"/>
        </w:pBdr>
        <w:spacing w:after="0" w:line="240" w:lineRule="auto"/>
        <w:rPr>
          <w:rFonts w:ascii="Calibri" w:eastAsia="Calibri" w:hAnsi="Calibri" w:cs="Calibri"/>
          <w:i w:val="0"/>
          <w:iCs w:val="0"/>
          <w:color w:val="000000"/>
          <w:kern w:val="20"/>
          <w:sz w:val="21"/>
          <w:szCs w:val="21"/>
          <w:u w:color="000000"/>
          <w:bdr w:val="nil"/>
          <w:lang w:val="en-US" w:eastAsia="zh-CN" w:bidi="hi-IN"/>
        </w:rPr>
      </w:pPr>
    </w:p>
    <w:p w14:paraId="35FB570A" w14:textId="77777777" w:rsidR="0007526F" w:rsidRPr="0007526F" w:rsidRDefault="0007526F" w:rsidP="0007526F">
      <w:pPr>
        <w:numPr>
          <w:ilvl w:val="0"/>
          <w:numId w:val="13"/>
        </w:numPr>
        <w:pBdr>
          <w:top w:val="nil"/>
          <w:left w:val="nil"/>
          <w:bottom w:val="nil"/>
          <w:right w:val="nil"/>
          <w:between w:val="nil"/>
          <w:bar w:val="nil"/>
        </w:pBdr>
        <w:spacing w:after="0" w:line="240" w:lineRule="auto"/>
        <w:ind w:left="-27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b/>
          <w:bCs/>
          <w:i w:val="0"/>
          <w:iCs w:val="0"/>
          <w:color w:val="000000"/>
          <w:kern w:val="20"/>
          <w:sz w:val="21"/>
          <w:szCs w:val="21"/>
          <w:u w:color="000000"/>
          <w:bdr w:val="nil"/>
          <w:lang w:val="en-US" w:eastAsia="zh-CN" w:bidi="hi-IN"/>
        </w:rPr>
        <w:t>ADVERTISING FILE</w:t>
      </w:r>
    </w:p>
    <w:p w14:paraId="0646E57D" w14:textId="77777777" w:rsidR="0007526F" w:rsidRPr="0007526F" w:rsidRDefault="0007526F" w:rsidP="0007526F">
      <w:pPr>
        <w:pBdr>
          <w:top w:val="nil"/>
          <w:left w:val="nil"/>
          <w:bottom w:val="nil"/>
          <w:right w:val="nil"/>
          <w:between w:val="nil"/>
          <w:bar w:val="nil"/>
        </w:pBdr>
        <w:spacing w:after="0" w:line="240" w:lineRule="auto"/>
        <w:ind w:left="-27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Confirmed Advertising File contains materials used in 2022, Review business presentations, commentaries, websites, social media sites, and other marketing materials for all necessary disclosures, ensure all materials have been approved through Compliance and employees are using the most current versions.</w:t>
      </w:r>
    </w:p>
    <w:p w14:paraId="68DEB17E" w14:textId="77777777" w:rsidR="0007526F" w:rsidRPr="0007526F" w:rsidRDefault="0007526F" w:rsidP="0007526F">
      <w:pPr>
        <w:numPr>
          <w:ilvl w:val="0"/>
          <w:numId w:val="19"/>
        </w:numPr>
        <w:pBdr>
          <w:top w:val="nil"/>
          <w:left w:val="nil"/>
          <w:bottom w:val="nil"/>
          <w:right w:val="nil"/>
          <w:between w:val="nil"/>
          <w:bar w:val="nil"/>
        </w:pBdr>
        <w:spacing w:after="0" w:line="240" w:lineRule="auto"/>
        <w:ind w:left="9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b/>
          <w:bCs/>
          <w:i w:val="0"/>
          <w:iCs w:val="0"/>
          <w:color w:val="C00000"/>
          <w:kern w:val="20"/>
          <w:sz w:val="21"/>
          <w:szCs w:val="21"/>
          <w:u w:color="000000"/>
          <w:bdr w:val="nil"/>
          <w:lang w:val="en-US" w:eastAsia="zh-CN" w:bidi="hi-IN"/>
        </w:rPr>
        <w:lastRenderedPageBreak/>
        <w:t>Refer to Marketing Rule Implementation Checklist in July TMIC 2022</w:t>
      </w:r>
    </w:p>
    <w:p w14:paraId="424C1ABF" w14:textId="77777777" w:rsidR="0007526F" w:rsidRPr="0007526F" w:rsidRDefault="0007526F" w:rsidP="0007526F">
      <w:pPr>
        <w:pBdr>
          <w:top w:val="nil"/>
          <w:left w:val="nil"/>
          <w:bottom w:val="nil"/>
          <w:right w:val="nil"/>
          <w:between w:val="nil"/>
          <w:bar w:val="nil"/>
        </w:pBdr>
        <w:spacing w:after="0" w:line="240" w:lineRule="auto"/>
        <w:ind w:left="-270"/>
        <w:rPr>
          <w:rFonts w:ascii="Calibri" w:eastAsia="Calibri" w:hAnsi="Calibri" w:cs="Calibri"/>
          <w:i w:val="0"/>
          <w:iCs w:val="0"/>
          <w:color w:val="000000"/>
          <w:kern w:val="20"/>
          <w:sz w:val="21"/>
          <w:szCs w:val="21"/>
          <w:highlight w:val="yellow"/>
          <w:u w:color="000000"/>
          <w:bdr w:val="nil"/>
          <w:lang w:val="en-US" w:eastAsia="zh-CN" w:bidi="hi-IN"/>
        </w:rPr>
      </w:pPr>
    </w:p>
    <w:p w14:paraId="7CAAE168" w14:textId="77777777" w:rsidR="0007526F" w:rsidRPr="0007526F" w:rsidRDefault="0007526F" w:rsidP="0007526F">
      <w:pPr>
        <w:numPr>
          <w:ilvl w:val="0"/>
          <w:numId w:val="13"/>
        </w:numPr>
        <w:pBdr>
          <w:top w:val="nil"/>
          <w:left w:val="nil"/>
          <w:bottom w:val="nil"/>
          <w:right w:val="nil"/>
          <w:between w:val="nil"/>
          <w:bar w:val="nil"/>
        </w:pBdr>
        <w:spacing w:after="0" w:line="240" w:lineRule="auto"/>
        <w:ind w:left="-27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b/>
          <w:bCs/>
          <w:i w:val="0"/>
          <w:iCs w:val="0"/>
          <w:color w:val="000000"/>
          <w:kern w:val="20"/>
          <w:sz w:val="21"/>
          <w:szCs w:val="21"/>
          <w:u w:color="000000"/>
          <w:bdr w:val="nil"/>
          <w:lang w:val="en-US" w:eastAsia="zh-CN" w:bidi="hi-IN"/>
        </w:rPr>
        <w:t>U-4 UPDATES AND REVIEW AND FORM ADV PART 2BS</w:t>
      </w:r>
    </w:p>
    <w:p w14:paraId="429652AF" w14:textId="77777777" w:rsidR="0007526F" w:rsidRPr="0007526F" w:rsidRDefault="0007526F" w:rsidP="0007526F">
      <w:pPr>
        <w:pBdr>
          <w:top w:val="nil"/>
          <w:left w:val="nil"/>
          <w:bottom w:val="nil"/>
          <w:right w:val="nil"/>
          <w:between w:val="nil"/>
          <w:bar w:val="nil"/>
        </w:pBdr>
        <w:spacing w:after="0" w:line="240" w:lineRule="auto"/>
        <w:ind w:left="-27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Obtain and review all Form U-4 Form ADV Part 2Bs.</w:t>
      </w:r>
    </w:p>
    <w:p w14:paraId="1BEEDFD0" w14:textId="77777777" w:rsidR="0007526F" w:rsidRPr="0007526F" w:rsidRDefault="0007526F" w:rsidP="0007526F">
      <w:pPr>
        <w:pBdr>
          <w:top w:val="nil"/>
          <w:left w:val="nil"/>
          <w:bottom w:val="nil"/>
          <w:right w:val="nil"/>
          <w:between w:val="nil"/>
          <w:bar w:val="nil"/>
        </w:pBdr>
        <w:spacing w:after="0" w:line="240" w:lineRule="auto"/>
        <w:ind w:left="-27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 xml:space="preserve">Confirm that information is accurate and update if applicable. </w:t>
      </w:r>
    </w:p>
    <w:p w14:paraId="360CF90B" w14:textId="77777777" w:rsidR="0007526F" w:rsidRPr="0007526F" w:rsidRDefault="0007526F" w:rsidP="0007526F">
      <w:pPr>
        <w:numPr>
          <w:ilvl w:val="0"/>
          <w:numId w:val="18"/>
        </w:numPr>
        <w:pBdr>
          <w:top w:val="nil"/>
          <w:left w:val="nil"/>
          <w:bottom w:val="nil"/>
          <w:right w:val="nil"/>
          <w:between w:val="nil"/>
          <w:bar w:val="nil"/>
        </w:pBdr>
        <w:spacing w:after="0" w:line="240" w:lineRule="auto"/>
        <w:ind w:left="90"/>
        <w:rPr>
          <w:rFonts w:ascii="Calibri" w:eastAsia="Calibri" w:hAnsi="Calibri" w:cs="Calibri"/>
          <w:b/>
          <w:bCs/>
          <w:i w:val="0"/>
          <w:iCs w:val="0"/>
          <w:color w:val="C00000"/>
          <w:kern w:val="20"/>
          <w:sz w:val="21"/>
          <w:szCs w:val="21"/>
          <w:u w:color="000000"/>
          <w:bdr w:val="nil"/>
          <w:lang w:val="en-US" w:eastAsia="zh-CN" w:bidi="hi-IN"/>
        </w:rPr>
      </w:pPr>
      <w:r w:rsidRPr="0007526F">
        <w:rPr>
          <w:rFonts w:ascii="Calibri" w:eastAsia="Calibri" w:hAnsi="Calibri" w:cs="Calibri"/>
          <w:b/>
          <w:bCs/>
          <w:i w:val="0"/>
          <w:iCs w:val="0"/>
          <w:color w:val="C00000"/>
          <w:kern w:val="20"/>
          <w:sz w:val="21"/>
          <w:szCs w:val="21"/>
          <w:u w:color="000000"/>
          <w:bdr w:val="nil"/>
          <w:lang w:val="en-US" w:eastAsia="zh-CN" w:bidi="hi-IN"/>
        </w:rPr>
        <w:t>Refer to September 2022 CCO Scorecard</w:t>
      </w:r>
    </w:p>
    <w:p w14:paraId="2ABAE39A" w14:textId="77777777" w:rsidR="0007526F" w:rsidRPr="0007526F" w:rsidRDefault="0007526F" w:rsidP="0007526F">
      <w:pPr>
        <w:pBdr>
          <w:top w:val="nil"/>
          <w:left w:val="nil"/>
          <w:bottom w:val="nil"/>
          <w:right w:val="nil"/>
          <w:between w:val="nil"/>
          <w:bar w:val="nil"/>
        </w:pBdr>
        <w:spacing w:after="0" w:line="240" w:lineRule="auto"/>
        <w:ind w:left="-270"/>
        <w:rPr>
          <w:rFonts w:ascii="Calibri" w:eastAsia="Calibri" w:hAnsi="Calibri" w:cs="Calibri"/>
          <w:b/>
          <w:bCs/>
          <w:i w:val="0"/>
          <w:iCs w:val="0"/>
          <w:color w:val="C00000"/>
          <w:kern w:val="20"/>
          <w:sz w:val="21"/>
          <w:szCs w:val="21"/>
          <w:u w:color="000000"/>
          <w:bdr w:val="nil"/>
          <w:lang w:val="en-US" w:eastAsia="zh-CN" w:bidi="hi-IN"/>
        </w:rPr>
      </w:pPr>
    </w:p>
    <w:p w14:paraId="5EBA6528" w14:textId="77777777" w:rsidR="0007526F" w:rsidRPr="0007526F" w:rsidRDefault="0007526F" w:rsidP="0007526F">
      <w:pPr>
        <w:numPr>
          <w:ilvl w:val="0"/>
          <w:numId w:val="13"/>
        </w:numPr>
        <w:pBdr>
          <w:top w:val="nil"/>
          <w:left w:val="nil"/>
          <w:bottom w:val="nil"/>
          <w:right w:val="nil"/>
          <w:between w:val="nil"/>
          <w:bar w:val="nil"/>
        </w:pBdr>
        <w:spacing w:after="0" w:line="240" w:lineRule="auto"/>
        <w:ind w:left="-270" w:right="450"/>
        <w:rPr>
          <w:rFonts w:ascii="Calibri" w:eastAsia="Times New Roman" w:hAnsi="Calibri" w:cs="Calibri"/>
          <w:i w:val="0"/>
          <w:iCs w:val="0"/>
          <w:color w:val="333333"/>
          <w:kern w:val="20"/>
          <w:sz w:val="21"/>
          <w:szCs w:val="21"/>
          <w:u w:color="000000"/>
          <w:bdr w:val="nil"/>
          <w:lang w:val="en-US" w:eastAsia="zh-CN" w:bidi="hi-IN"/>
        </w:rPr>
      </w:pPr>
      <w:r w:rsidRPr="0007526F">
        <w:rPr>
          <w:rFonts w:ascii="Calibri" w:eastAsia="Calibri" w:hAnsi="Calibri" w:cs="Calibri"/>
          <w:b/>
          <w:bCs/>
          <w:i w:val="0"/>
          <w:iCs w:val="0"/>
          <w:color w:val="000000"/>
          <w:kern w:val="20"/>
          <w:sz w:val="21"/>
          <w:szCs w:val="21"/>
          <w:u w:color="000000"/>
          <w:bdr w:val="nil"/>
          <w:lang w:val="en-US" w:eastAsia="zh-CN" w:bidi="hi-IN"/>
        </w:rPr>
        <w:t>ALTERNATIVE/COMPLEX EXCHANGE TRADED PRODUCTS</w:t>
      </w:r>
    </w:p>
    <w:p w14:paraId="2FC7A40C" w14:textId="77777777" w:rsidR="0007526F" w:rsidRPr="0007526F" w:rsidRDefault="0007526F" w:rsidP="0007526F">
      <w:pPr>
        <w:pBdr>
          <w:top w:val="nil"/>
          <w:left w:val="nil"/>
          <w:bottom w:val="nil"/>
          <w:right w:val="nil"/>
          <w:between w:val="nil"/>
          <w:bar w:val="nil"/>
        </w:pBdr>
        <w:spacing w:after="0" w:line="240" w:lineRule="auto"/>
        <w:ind w:left="-270" w:right="450"/>
        <w:rPr>
          <w:rFonts w:ascii="Calibri" w:eastAsia="Calibri" w:hAnsi="Calibri" w:cs="Calibri"/>
          <w:i w:val="0"/>
          <w:iCs w:val="0"/>
          <w:color w:val="000000"/>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Review listing of</w:t>
      </w:r>
      <w:r w:rsidRPr="0007526F">
        <w:rPr>
          <w:rFonts w:ascii="Calibri" w:eastAsia="Calibri" w:hAnsi="Calibri" w:cs="Calibri"/>
          <w:b/>
          <w:bCs/>
          <w:i w:val="0"/>
          <w:iCs w:val="0"/>
          <w:color w:val="000000"/>
          <w:kern w:val="20"/>
          <w:sz w:val="21"/>
          <w:szCs w:val="21"/>
          <w:u w:color="000000"/>
          <w:bdr w:val="nil"/>
          <w:lang w:val="en-US" w:eastAsia="zh-CN" w:bidi="hi-IN"/>
        </w:rPr>
        <w:t xml:space="preserve"> </w:t>
      </w:r>
      <w:r w:rsidRPr="0007526F">
        <w:rPr>
          <w:rFonts w:ascii="Calibri" w:eastAsia="Calibri" w:hAnsi="Calibri" w:cs="Calibri"/>
          <w:i w:val="0"/>
          <w:iCs w:val="0"/>
          <w:color w:val="000000"/>
          <w:kern w:val="20"/>
          <w:sz w:val="21"/>
          <w:szCs w:val="21"/>
          <w:u w:color="000000"/>
          <w:bdr w:val="nil"/>
          <w:lang w:val="en-US" w:eastAsia="zh-CN" w:bidi="hi-IN"/>
        </w:rPr>
        <w:t>Alternative/Complex Exchange Traded Products</w:t>
      </w:r>
      <w:r w:rsidRPr="0007526F">
        <w:rPr>
          <w:rFonts w:ascii="Calibri" w:eastAsia="Calibri" w:hAnsi="Calibri" w:cs="Calibri"/>
          <w:b/>
          <w:bCs/>
          <w:i w:val="0"/>
          <w:iCs w:val="0"/>
          <w:color w:val="000000"/>
          <w:kern w:val="20"/>
          <w:sz w:val="21"/>
          <w:szCs w:val="21"/>
          <w:u w:color="000000"/>
          <w:bdr w:val="nil"/>
          <w:lang w:val="en-US" w:eastAsia="zh-CN" w:bidi="hi-IN"/>
        </w:rPr>
        <w:t>.</w:t>
      </w:r>
    </w:p>
    <w:p w14:paraId="18ED2525" w14:textId="77777777" w:rsidR="0007526F" w:rsidRPr="0007526F" w:rsidRDefault="0007526F" w:rsidP="0007526F">
      <w:pPr>
        <w:pBdr>
          <w:top w:val="nil"/>
          <w:left w:val="nil"/>
          <w:bottom w:val="nil"/>
          <w:right w:val="nil"/>
          <w:between w:val="nil"/>
          <w:bar w:val="nil"/>
        </w:pBdr>
        <w:spacing w:after="0" w:line="240" w:lineRule="auto"/>
        <w:ind w:left="-270" w:right="450"/>
        <w:rPr>
          <w:rFonts w:ascii="Calibri" w:eastAsia="Times New Roman" w:hAnsi="Calibri" w:cs="Calibri"/>
          <w:i w:val="0"/>
          <w:iCs w:val="0"/>
          <w:color w:val="333333"/>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 xml:space="preserve">Review client list of those who hold such products.  </w:t>
      </w:r>
    </w:p>
    <w:p w14:paraId="5CB6CC8A" w14:textId="77777777" w:rsidR="0007526F" w:rsidRPr="0007526F" w:rsidRDefault="0007526F" w:rsidP="0007526F">
      <w:pPr>
        <w:numPr>
          <w:ilvl w:val="0"/>
          <w:numId w:val="17"/>
        </w:numPr>
        <w:pBdr>
          <w:top w:val="nil"/>
          <w:left w:val="nil"/>
          <w:bottom w:val="nil"/>
          <w:right w:val="nil"/>
          <w:between w:val="nil"/>
          <w:bar w:val="nil"/>
        </w:pBdr>
        <w:spacing w:after="0" w:line="240" w:lineRule="auto"/>
        <w:ind w:left="90"/>
        <w:rPr>
          <w:rFonts w:ascii="Calibri" w:eastAsia="Calibri" w:hAnsi="Calibri" w:cs="Calibri"/>
          <w:b/>
          <w:bCs/>
          <w:i w:val="0"/>
          <w:iCs w:val="0"/>
          <w:color w:val="C00000"/>
          <w:kern w:val="20"/>
          <w:sz w:val="21"/>
          <w:szCs w:val="21"/>
          <w:u w:color="000000"/>
          <w:bdr w:val="nil"/>
          <w:lang w:val="en-US" w:eastAsia="zh-CN" w:bidi="hi-IN"/>
        </w:rPr>
      </w:pPr>
      <w:r w:rsidRPr="0007526F">
        <w:rPr>
          <w:rFonts w:ascii="Calibri" w:eastAsia="Calibri" w:hAnsi="Calibri" w:cs="Calibri"/>
          <w:b/>
          <w:bCs/>
          <w:i w:val="0"/>
          <w:iCs w:val="0"/>
          <w:color w:val="C00000"/>
          <w:kern w:val="20"/>
          <w:sz w:val="21"/>
          <w:szCs w:val="21"/>
          <w:u w:color="000000"/>
          <w:bdr w:val="nil"/>
          <w:lang w:val="en-US" w:eastAsia="zh-CN" w:bidi="hi-IN"/>
        </w:rPr>
        <w:t>Refer to SEC Annual Priorities – April TMIC 2022</w:t>
      </w:r>
    </w:p>
    <w:p w14:paraId="6BD1AAA3" w14:textId="77777777" w:rsidR="0007526F" w:rsidRPr="0007526F" w:rsidRDefault="0007526F" w:rsidP="0007526F">
      <w:pPr>
        <w:pBdr>
          <w:top w:val="nil"/>
          <w:left w:val="nil"/>
          <w:bottom w:val="nil"/>
          <w:right w:val="nil"/>
          <w:between w:val="nil"/>
          <w:bar w:val="nil"/>
        </w:pBdr>
        <w:spacing w:after="0" w:line="240" w:lineRule="auto"/>
        <w:ind w:left="-270"/>
        <w:rPr>
          <w:rFonts w:ascii="Calibri" w:eastAsia="Calibri" w:hAnsi="Calibri" w:cs="Calibri"/>
          <w:b/>
          <w:bCs/>
          <w:i w:val="0"/>
          <w:iCs w:val="0"/>
          <w:color w:val="C00000"/>
          <w:kern w:val="20"/>
          <w:sz w:val="21"/>
          <w:szCs w:val="21"/>
          <w:u w:color="000000"/>
          <w:bdr w:val="nil"/>
          <w:lang w:val="en-US" w:eastAsia="zh-CN" w:bidi="hi-IN"/>
        </w:rPr>
      </w:pPr>
    </w:p>
    <w:p w14:paraId="658C2D9E" w14:textId="77777777" w:rsidR="0007526F" w:rsidRPr="0007526F" w:rsidRDefault="0007526F" w:rsidP="0007526F">
      <w:pPr>
        <w:numPr>
          <w:ilvl w:val="0"/>
          <w:numId w:val="13"/>
        </w:numPr>
        <w:pBdr>
          <w:top w:val="nil"/>
          <w:left w:val="nil"/>
          <w:bottom w:val="nil"/>
          <w:right w:val="nil"/>
          <w:between w:val="nil"/>
          <w:bar w:val="nil"/>
        </w:pBdr>
        <w:spacing w:after="0" w:line="240" w:lineRule="auto"/>
        <w:ind w:left="-270" w:right="450"/>
        <w:rPr>
          <w:rFonts w:ascii="Calibri" w:eastAsia="Times New Roman" w:hAnsi="Calibri" w:cs="Calibri"/>
          <w:b/>
          <w:bCs/>
          <w:i w:val="0"/>
          <w:iCs w:val="0"/>
          <w:kern w:val="20"/>
          <w:sz w:val="21"/>
          <w:szCs w:val="21"/>
          <w:u w:color="000000"/>
          <w:bdr w:val="nil"/>
          <w:lang w:val="en-US" w:eastAsia="zh-CN" w:bidi="hi-IN"/>
        </w:rPr>
      </w:pPr>
      <w:r w:rsidRPr="0007526F">
        <w:rPr>
          <w:rFonts w:ascii="Calibri" w:eastAsia="Calibri" w:hAnsi="Calibri" w:cs="Calibri"/>
          <w:b/>
          <w:bCs/>
          <w:i w:val="0"/>
          <w:iCs w:val="0"/>
          <w:kern w:val="20"/>
          <w:sz w:val="21"/>
          <w:szCs w:val="21"/>
          <w:u w:color="000000"/>
          <w:bdr w:val="nil"/>
          <w:lang w:val="en-US" w:eastAsia="zh-CN" w:bidi="hi-IN"/>
        </w:rPr>
        <w:t>NEW CE REQUIREMENTS</w:t>
      </w:r>
    </w:p>
    <w:p w14:paraId="4DBEF0B9" w14:textId="77777777" w:rsidR="0007526F" w:rsidRPr="0007526F" w:rsidRDefault="0007526F" w:rsidP="0007526F">
      <w:pPr>
        <w:pBdr>
          <w:top w:val="nil"/>
          <w:left w:val="nil"/>
          <w:bottom w:val="nil"/>
          <w:right w:val="nil"/>
          <w:between w:val="nil"/>
          <w:bar w:val="nil"/>
        </w:pBdr>
        <w:spacing w:after="0" w:line="240" w:lineRule="auto"/>
        <w:ind w:left="-270" w:right="450"/>
        <w:rPr>
          <w:rFonts w:ascii="Calibri" w:eastAsia="Calibri" w:hAnsi="Calibri" w:cs="Calibri"/>
          <w:kern w:val="20"/>
          <w:sz w:val="21"/>
          <w:szCs w:val="21"/>
          <w:u w:color="000000"/>
          <w:bdr w:val="nil"/>
          <w:lang w:val="en-US" w:eastAsia="zh-CN" w:bidi="hi-IN"/>
        </w:rPr>
      </w:pPr>
      <w:r w:rsidRPr="0007526F">
        <w:rPr>
          <w:rFonts w:ascii="Calibri" w:eastAsia="Calibri" w:hAnsi="Calibri" w:cs="Calibri"/>
          <w:i w:val="0"/>
          <w:iCs w:val="0"/>
          <w:kern w:val="20"/>
          <w:sz w:val="21"/>
          <w:szCs w:val="21"/>
          <w:u w:color="000000"/>
          <w:bdr w:val="nil"/>
          <w:lang w:val="en-US" w:eastAsia="zh-CN" w:bidi="hi-IN"/>
        </w:rPr>
        <w:t xml:space="preserve">Confirm your Firm’s IARs are or are not subject to CE Requirements – Are your IARs registered in a </w:t>
      </w:r>
      <w:hyperlink r:id="rId11" w:history="1">
        <w:r w:rsidRPr="0007526F">
          <w:rPr>
            <w:rFonts w:ascii="Calibri" w:eastAsia="Calibri" w:hAnsi="Calibri" w:cs="Calibri"/>
            <w:kern w:val="20"/>
            <w:sz w:val="21"/>
            <w:szCs w:val="21"/>
            <w:u w:color="000000"/>
            <w:bdr w:val="nil"/>
            <w:lang w:val="en-US" w:eastAsia="zh-CN" w:bidi="hi-IN"/>
          </w:rPr>
          <w:t>jurisdiction</w:t>
        </w:r>
      </w:hyperlink>
      <w:r w:rsidRPr="0007526F">
        <w:rPr>
          <w:rFonts w:ascii="Calibri" w:eastAsia="Calibri" w:hAnsi="Calibri" w:cs="Calibri"/>
          <w:kern w:val="20"/>
          <w:sz w:val="21"/>
          <w:szCs w:val="21"/>
          <w:u w:color="000000"/>
          <w:bdr w:val="nil"/>
          <w:lang w:val="en-US" w:eastAsia="zh-CN" w:bidi="hi-IN"/>
        </w:rPr>
        <w:t> that adopted or is adopting a rule for CE requirements?</w:t>
      </w:r>
    </w:p>
    <w:p w14:paraId="3125B962" w14:textId="77777777" w:rsidR="0007526F" w:rsidRPr="0007526F" w:rsidRDefault="0007526F" w:rsidP="0007526F">
      <w:pPr>
        <w:pBdr>
          <w:top w:val="nil"/>
          <w:left w:val="nil"/>
          <w:bottom w:val="nil"/>
          <w:right w:val="nil"/>
          <w:between w:val="nil"/>
          <w:bar w:val="nil"/>
        </w:pBdr>
        <w:spacing w:after="0" w:line="240" w:lineRule="auto"/>
        <w:ind w:left="-270" w:right="450"/>
        <w:rPr>
          <w:rFonts w:ascii="Calibri" w:eastAsia="Times New Roman" w:hAnsi="Calibri" w:cs="Calibri"/>
          <w:i w:val="0"/>
          <w:iCs w:val="0"/>
          <w:kern w:val="20"/>
          <w:sz w:val="21"/>
          <w:szCs w:val="21"/>
          <w:u w:color="000000"/>
          <w:bdr w:val="nil"/>
          <w:lang w:val="en-US" w:eastAsia="zh-CN" w:bidi="hi-IN"/>
        </w:rPr>
      </w:pPr>
      <w:r w:rsidRPr="0007526F">
        <w:rPr>
          <w:rFonts w:ascii="Calibri" w:eastAsia="Calibri" w:hAnsi="Calibri" w:cs="Calibri"/>
          <w:kern w:val="20"/>
          <w:sz w:val="21"/>
          <w:szCs w:val="21"/>
          <w:u w:color="000000"/>
          <w:bdr w:val="nil"/>
          <w:lang w:val="en-US" w:eastAsia="zh-CN" w:bidi="hi-IN"/>
        </w:rPr>
        <w:t xml:space="preserve"> </w:t>
      </w:r>
      <w:r w:rsidRPr="0007526F">
        <w:rPr>
          <w:rFonts w:ascii="Calibri" w:eastAsia="Calibri" w:hAnsi="Calibri" w:cs="Calibri"/>
          <w:i w:val="0"/>
          <w:iCs w:val="0"/>
          <w:kern w:val="20"/>
          <w:sz w:val="21"/>
          <w:szCs w:val="21"/>
          <w:u w:color="000000"/>
          <w:bdr w:val="nil"/>
          <w:lang w:val="en-US" w:eastAsia="zh-CN" w:bidi="hi-IN"/>
        </w:rPr>
        <w:t xml:space="preserve">The program applies to all registered IARs of both </w:t>
      </w:r>
      <w:r w:rsidRPr="0007526F">
        <w:rPr>
          <w:rFonts w:ascii="Calibri" w:eastAsia="Calibri" w:hAnsi="Calibri" w:cs="Calibri"/>
          <w:kern w:val="20"/>
          <w:sz w:val="21"/>
          <w:szCs w:val="21"/>
          <w:u w:color="000000"/>
          <w:bdr w:val="nil"/>
          <w:lang w:val="en-US" w:eastAsia="zh-CN" w:bidi="hi-IN"/>
        </w:rPr>
        <w:t>state-registered and federal covered investment advisers</w:t>
      </w:r>
      <w:r w:rsidRPr="0007526F">
        <w:rPr>
          <w:rFonts w:ascii="Calibri" w:eastAsia="Calibri" w:hAnsi="Calibri" w:cs="Calibri"/>
          <w:i w:val="0"/>
          <w:iCs w:val="0"/>
          <w:kern w:val="20"/>
          <w:sz w:val="21"/>
          <w:szCs w:val="21"/>
          <w:u w:color="000000"/>
          <w:bdr w:val="nil"/>
          <w:lang w:val="en-US" w:eastAsia="zh-CN" w:bidi="hi-IN"/>
        </w:rPr>
        <w:t xml:space="preserve"> in that jurisdiction.</w:t>
      </w:r>
      <w:r w:rsidRPr="0007526F">
        <w:rPr>
          <w:rFonts w:ascii="Calibri" w:eastAsia="Calibri" w:hAnsi="Calibri" w:cs="Calibri"/>
          <w:b/>
          <w:bCs/>
          <w:i w:val="0"/>
          <w:iCs w:val="0"/>
          <w:kern w:val="20"/>
          <w:sz w:val="21"/>
          <w:szCs w:val="21"/>
          <w:u w:color="000000"/>
          <w:bdr w:val="nil"/>
          <w:lang w:val="en-US" w:eastAsia="zh-CN" w:bidi="hi-IN"/>
        </w:rPr>
        <w:t xml:space="preserve"> </w:t>
      </w:r>
    </w:p>
    <w:p w14:paraId="0F45A5B8" w14:textId="77777777" w:rsidR="0007526F" w:rsidRPr="0007526F" w:rsidRDefault="0007526F" w:rsidP="0007526F">
      <w:pPr>
        <w:numPr>
          <w:ilvl w:val="0"/>
          <w:numId w:val="16"/>
        </w:numPr>
        <w:pBdr>
          <w:top w:val="nil"/>
          <w:left w:val="nil"/>
          <w:bottom w:val="nil"/>
          <w:right w:val="nil"/>
          <w:between w:val="nil"/>
          <w:bar w:val="nil"/>
        </w:pBdr>
        <w:spacing w:after="0" w:line="240" w:lineRule="auto"/>
        <w:ind w:left="90"/>
        <w:rPr>
          <w:rFonts w:ascii="Calibri" w:eastAsia="Calibri" w:hAnsi="Calibri" w:cs="Calibri"/>
          <w:b/>
          <w:bCs/>
          <w:i w:val="0"/>
          <w:iCs w:val="0"/>
          <w:color w:val="C00000"/>
          <w:kern w:val="20"/>
          <w:sz w:val="21"/>
          <w:szCs w:val="21"/>
          <w:u w:color="000000"/>
          <w:bdr w:val="nil"/>
          <w:lang w:val="en-US" w:eastAsia="zh-CN" w:bidi="hi-IN"/>
        </w:rPr>
      </w:pPr>
      <w:r w:rsidRPr="0007526F">
        <w:rPr>
          <w:rFonts w:ascii="Calibri" w:eastAsia="Calibri" w:hAnsi="Calibri" w:cs="Calibri"/>
          <w:b/>
          <w:bCs/>
          <w:i w:val="0"/>
          <w:iCs w:val="0"/>
          <w:color w:val="C00000"/>
          <w:kern w:val="20"/>
          <w:sz w:val="21"/>
          <w:szCs w:val="21"/>
          <w:u w:color="000000"/>
          <w:bdr w:val="nil"/>
          <w:lang w:val="en-US" w:eastAsia="zh-CN" w:bidi="hi-IN"/>
        </w:rPr>
        <w:t>Refer to September 2022 TMIC</w:t>
      </w:r>
    </w:p>
    <w:p w14:paraId="7DF33166" w14:textId="77777777" w:rsidR="0007526F" w:rsidRPr="0007526F" w:rsidRDefault="0007526F" w:rsidP="0007526F">
      <w:pPr>
        <w:pBdr>
          <w:top w:val="nil"/>
          <w:left w:val="nil"/>
          <w:bottom w:val="nil"/>
          <w:right w:val="nil"/>
          <w:between w:val="nil"/>
          <w:bar w:val="nil"/>
        </w:pBdr>
        <w:spacing w:after="0" w:line="240" w:lineRule="auto"/>
        <w:ind w:left="-270"/>
        <w:rPr>
          <w:rFonts w:ascii="Calibri" w:eastAsia="Calibri" w:hAnsi="Calibri" w:cs="Calibri"/>
          <w:b/>
          <w:bCs/>
          <w:i w:val="0"/>
          <w:iCs w:val="0"/>
          <w:color w:val="C00000"/>
          <w:kern w:val="20"/>
          <w:sz w:val="21"/>
          <w:szCs w:val="21"/>
          <w:u w:color="000000"/>
          <w:bdr w:val="nil"/>
          <w:lang w:val="en-US" w:eastAsia="zh-CN" w:bidi="hi-IN"/>
        </w:rPr>
      </w:pPr>
    </w:p>
    <w:p w14:paraId="75BB00AD" w14:textId="77777777" w:rsidR="0007526F" w:rsidRPr="0007526F" w:rsidRDefault="0007526F" w:rsidP="0007526F">
      <w:pPr>
        <w:numPr>
          <w:ilvl w:val="0"/>
          <w:numId w:val="13"/>
        </w:numPr>
        <w:pBdr>
          <w:top w:val="nil"/>
          <w:left w:val="nil"/>
          <w:bottom w:val="nil"/>
          <w:right w:val="nil"/>
          <w:between w:val="nil"/>
          <w:bar w:val="nil"/>
        </w:pBdr>
        <w:spacing w:after="0" w:line="240" w:lineRule="auto"/>
        <w:ind w:left="-270"/>
        <w:rPr>
          <w:rFonts w:ascii="Calibri" w:eastAsia="Calibri" w:hAnsi="Calibri" w:cs="Calibri"/>
          <w:i w:val="0"/>
          <w:iCs w:val="0"/>
          <w:kern w:val="20"/>
          <w:sz w:val="21"/>
          <w:szCs w:val="21"/>
          <w:u w:color="000000"/>
          <w:bdr w:val="nil"/>
          <w:lang w:val="en-US" w:eastAsia="zh-CN" w:bidi="hi-IN"/>
        </w:rPr>
      </w:pPr>
      <w:r w:rsidRPr="0007526F">
        <w:rPr>
          <w:rFonts w:ascii="Calibri" w:eastAsia="Calibri" w:hAnsi="Calibri" w:cs="Calibri"/>
          <w:b/>
          <w:bCs/>
          <w:i w:val="0"/>
          <w:iCs w:val="0"/>
          <w:kern w:val="20"/>
          <w:sz w:val="21"/>
          <w:szCs w:val="21"/>
          <w:u w:color="000000"/>
          <w:bdr w:val="nil"/>
          <w:lang w:val="en-US" w:eastAsia="zh-CN" w:bidi="hi-IN"/>
        </w:rPr>
        <w:t>REVIEW MONTHLY CCO SCORECARDS FOR 2022</w:t>
      </w:r>
      <w:r w:rsidRPr="0007526F">
        <w:rPr>
          <w:rFonts w:ascii="Calibri" w:eastAsia="Calibri" w:hAnsi="Calibri" w:cs="Calibri"/>
          <w:i w:val="0"/>
          <w:iCs w:val="0"/>
          <w:kern w:val="20"/>
          <w:sz w:val="21"/>
          <w:szCs w:val="21"/>
          <w:u w:color="000000"/>
          <w:bdr w:val="nil"/>
          <w:lang w:val="en-US" w:eastAsia="zh-CN" w:bidi="hi-IN"/>
        </w:rPr>
        <w:t xml:space="preserve"> </w:t>
      </w:r>
    </w:p>
    <w:p w14:paraId="2215D8F9" w14:textId="77777777" w:rsidR="0007526F" w:rsidRPr="0007526F" w:rsidRDefault="0007526F" w:rsidP="0007526F">
      <w:pPr>
        <w:pBdr>
          <w:top w:val="nil"/>
          <w:left w:val="nil"/>
          <w:bottom w:val="nil"/>
          <w:right w:val="nil"/>
          <w:between w:val="nil"/>
          <w:bar w:val="nil"/>
        </w:pBdr>
        <w:spacing w:after="0" w:line="240" w:lineRule="auto"/>
        <w:ind w:left="-270"/>
        <w:rPr>
          <w:rFonts w:ascii="Calibri" w:eastAsia="Calibri" w:hAnsi="Calibri" w:cs="Calibri"/>
          <w:i w:val="0"/>
          <w:iCs w:val="0"/>
          <w:kern w:val="20"/>
          <w:sz w:val="21"/>
          <w:szCs w:val="21"/>
          <w:u w:color="000000"/>
          <w:bdr w:val="nil"/>
          <w:lang w:val="en-US" w:eastAsia="zh-CN" w:bidi="hi-IN"/>
        </w:rPr>
      </w:pPr>
      <w:r w:rsidRPr="0007526F">
        <w:rPr>
          <w:rFonts w:ascii="Calibri" w:eastAsia="Calibri" w:hAnsi="Calibri" w:cs="Calibri"/>
          <w:i w:val="0"/>
          <w:iCs w:val="0"/>
          <w:kern w:val="20"/>
          <w:sz w:val="21"/>
          <w:szCs w:val="21"/>
          <w:u w:color="000000"/>
          <w:bdr w:val="nil"/>
          <w:lang w:val="en-US" w:eastAsia="zh-CN" w:bidi="hi-IN"/>
        </w:rPr>
        <w:t>Review monthly compliance tasks have been completed.</w:t>
      </w:r>
    </w:p>
    <w:p w14:paraId="3B318021" w14:textId="77777777" w:rsidR="0007526F" w:rsidRPr="0007526F" w:rsidRDefault="0007526F" w:rsidP="0007526F">
      <w:pPr>
        <w:numPr>
          <w:ilvl w:val="0"/>
          <w:numId w:val="15"/>
        </w:numPr>
        <w:pBdr>
          <w:top w:val="nil"/>
          <w:left w:val="nil"/>
          <w:bottom w:val="nil"/>
          <w:right w:val="nil"/>
          <w:between w:val="nil"/>
          <w:bar w:val="nil"/>
        </w:pBdr>
        <w:spacing w:after="0" w:line="240" w:lineRule="auto"/>
        <w:ind w:left="90"/>
        <w:rPr>
          <w:rFonts w:ascii="Calibri" w:eastAsia="Calibri" w:hAnsi="Calibri" w:cs="Calibri"/>
          <w:i w:val="0"/>
          <w:iCs w:val="0"/>
          <w:color w:val="C00000"/>
          <w:kern w:val="20"/>
          <w:sz w:val="21"/>
          <w:szCs w:val="21"/>
          <w:u w:color="000000"/>
          <w:bdr w:val="nil"/>
          <w:lang w:val="en-US" w:eastAsia="zh-CN" w:bidi="hi-IN"/>
        </w:rPr>
      </w:pPr>
      <w:r w:rsidRPr="0007526F">
        <w:rPr>
          <w:rFonts w:ascii="Calibri" w:eastAsia="Calibri" w:hAnsi="Calibri" w:cs="Calibri"/>
          <w:b/>
          <w:bCs/>
          <w:i w:val="0"/>
          <w:iCs w:val="0"/>
          <w:color w:val="C00000"/>
          <w:kern w:val="20"/>
          <w:sz w:val="21"/>
          <w:szCs w:val="21"/>
          <w:u w:color="000000"/>
          <w:bdr w:val="nil"/>
          <w:lang w:val="en-US" w:eastAsia="zh-CN" w:bidi="hi-IN"/>
        </w:rPr>
        <w:t xml:space="preserve">Refer to Monthly CCO Scorecards or </w:t>
      </w:r>
      <w:proofErr w:type="spellStart"/>
      <w:r w:rsidRPr="0007526F">
        <w:rPr>
          <w:rFonts w:ascii="Calibri" w:eastAsia="Calibri" w:hAnsi="Calibri" w:cs="Calibri"/>
          <w:b/>
          <w:bCs/>
          <w:i w:val="0"/>
          <w:iCs w:val="0"/>
          <w:color w:val="C00000"/>
          <w:kern w:val="20"/>
          <w:sz w:val="21"/>
          <w:szCs w:val="21"/>
          <w:u w:color="000000"/>
          <w:bdr w:val="nil"/>
          <w:lang w:val="en-US" w:eastAsia="zh-CN" w:bidi="hi-IN"/>
        </w:rPr>
        <w:t>SmartRIA</w:t>
      </w:r>
      <w:proofErr w:type="spellEnd"/>
      <w:r w:rsidRPr="0007526F">
        <w:rPr>
          <w:rFonts w:ascii="Calibri" w:eastAsia="Calibri" w:hAnsi="Calibri" w:cs="Calibri"/>
          <w:b/>
          <w:bCs/>
          <w:i w:val="0"/>
          <w:iCs w:val="0"/>
          <w:color w:val="C00000"/>
          <w:kern w:val="20"/>
          <w:sz w:val="21"/>
          <w:szCs w:val="21"/>
          <w:u w:color="000000"/>
          <w:bdr w:val="nil"/>
          <w:lang w:val="en-US" w:eastAsia="zh-CN" w:bidi="hi-IN"/>
        </w:rPr>
        <w:t xml:space="preserve"> calendar of tasks</w:t>
      </w:r>
      <w:r w:rsidRPr="0007526F">
        <w:rPr>
          <w:rFonts w:ascii="Calibri" w:eastAsia="Calibri" w:hAnsi="Calibri" w:cs="Calibri"/>
          <w:i w:val="0"/>
          <w:iCs w:val="0"/>
          <w:color w:val="C00000"/>
          <w:kern w:val="20"/>
          <w:sz w:val="21"/>
          <w:szCs w:val="21"/>
          <w:u w:color="000000"/>
          <w:bdr w:val="nil"/>
          <w:lang w:val="en-US" w:eastAsia="zh-CN" w:bidi="hi-IN"/>
        </w:rPr>
        <w:t xml:space="preserve"> </w:t>
      </w:r>
    </w:p>
    <w:p w14:paraId="750D4A40" w14:textId="77777777" w:rsidR="0007526F" w:rsidRPr="0007526F" w:rsidRDefault="0007526F" w:rsidP="0007526F">
      <w:pPr>
        <w:pBdr>
          <w:top w:val="nil"/>
          <w:left w:val="nil"/>
          <w:bottom w:val="nil"/>
          <w:right w:val="nil"/>
          <w:between w:val="nil"/>
          <w:bar w:val="nil"/>
        </w:pBdr>
        <w:spacing w:after="0" w:line="240" w:lineRule="auto"/>
        <w:ind w:left="-270"/>
        <w:rPr>
          <w:rFonts w:ascii="Calibri" w:eastAsia="Calibri" w:hAnsi="Calibri" w:cs="Calibri"/>
          <w:i w:val="0"/>
          <w:iCs w:val="0"/>
          <w:color w:val="C00000"/>
          <w:kern w:val="20"/>
          <w:sz w:val="21"/>
          <w:szCs w:val="21"/>
          <w:u w:color="000000"/>
          <w:bdr w:val="nil"/>
          <w:lang w:val="en-US" w:eastAsia="zh-CN" w:bidi="hi-IN"/>
        </w:rPr>
      </w:pPr>
    </w:p>
    <w:p w14:paraId="19E67868" w14:textId="77777777" w:rsidR="0007526F" w:rsidRPr="0007526F" w:rsidRDefault="0007526F" w:rsidP="0007526F">
      <w:pPr>
        <w:numPr>
          <w:ilvl w:val="0"/>
          <w:numId w:val="13"/>
        </w:numPr>
        <w:pBdr>
          <w:top w:val="nil"/>
          <w:left w:val="nil"/>
          <w:bottom w:val="nil"/>
          <w:right w:val="nil"/>
          <w:between w:val="nil"/>
          <w:bar w:val="nil"/>
        </w:pBdr>
        <w:spacing w:after="0" w:line="240" w:lineRule="auto"/>
        <w:ind w:left="-270"/>
        <w:rPr>
          <w:rFonts w:ascii="Calibri" w:eastAsia="Calibri" w:hAnsi="Calibri" w:cs="Calibri"/>
          <w:b/>
          <w:bCs/>
          <w:i w:val="0"/>
          <w:iCs w:val="0"/>
          <w:color w:val="C00000"/>
          <w:kern w:val="20"/>
          <w:sz w:val="21"/>
          <w:szCs w:val="21"/>
          <w:u w:color="000000"/>
          <w:bdr w:val="nil"/>
          <w:lang w:val="en-US" w:eastAsia="zh-CN" w:bidi="hi-IN"/>
        </w:rPr>
      </w:pPr>
      <w:r w:rsidRPr="0007526F">
        <w:rPr>
          <w:rFonts w:ascii="Calibri" w:eastAsia="Calibri" w:hAnsi="Calibri" w:cs="Calibri"/>
          <w:b/>
          <w:bCs/>
          <w:i w:val="0"/>
          <w:iCs w:val="0"/>
          <w:color w:val="000000"/>
          <w:kern w:val="20"/>
          <w:sz w:val="21"/>
          <w:szCs w:val="21"/>
          <w:u w:color="000000"/>
          <w:bdr w:val="nil"/>
          <w:lang w:val="en-US" w:eastAsia="zh-CN" w:bidi="hi-IN"/>
        </w:rPr>
        <w:t xml:space="preserve">CONDUCTED 2022 RISK ASSESSMENT </w:t>
      </w:r>
    </w:p>
    <w:p w14:paraId="39A5EAB3" w14:textId="77777777" w:rsidR="0007526F" w:rsidRPr="0007526F" w:rsidRDefault="0007526F" w:rsidP="0007526F">
      <w:pPr>
        <w:pBdr>
          <w:top w:val="nil"/>
          <w:left w:val="nil"/>
          <w:bottom w:val="nil"/>
          <w:right w:val="nil"/>
          <w:between w:val="nil"/>
          <w:bar w:val="nil"/>
        </w:pBdr>
        <w:spacing w:after="0" w:line="240" w:lineRule="auto"/>
        <w:ind w:left="-270"/>
        <w:rPr>
          <w:rFonts w:ascii="Calibri" w:eastAsia="Calibri" w:hAnsi="Calibri" w:cs="Calibri"/>
          <w:b/>
          <w:bCs/>
          <w:i w:val="0"/>
          <w:iCs w:val="0"/>
          <w:color w:val="C00000"/>
          <w:kern w:val="20"/>
          <w:sz w:val="21"/>
          <w:szCs w:val="21"/>
          <w:u w:color="000000"/>
          <w:bdr w:val="nil"/>
          <w:lang w:val="en-US" w:eastAsia="zh-CN" w:bidi="hi-IN"/>
        </w:rPr>
      </w:pPr>
      <w:r w:rsidRPr="0007526F">
        <w:rPr>
          <w:rFonts w:ascii="Calibri" w:eastAsia="Calibri" w:hAnsi="Calibri" w:cs="Calibri"/>
          <w:i w:val="0"/>
          <w:iCs w:val="0"/>
          <w:color w:val="000000"/>
          <w:kern w:val="20"/>
          <w:sz w:val="21"/>
          <w:szCs w:val="21"/>
          <w:u w:color="000000"/>
          <w:bdr w:val="nil"/>
          <w:lang w:val="en-US" w:eastAsia="zh-CN" w:bidi="hi-IN"/>
        </w:rPr>
        <w:t>Cross check that Firm conflicts are reported on ADV addressed in Agreement.</w:t>
      </w:r>
    </w:p>
    <w:p w14:paraId="2D29A25B" w14:textId="77777777" w:rsidR="0007526F" w:rsidRPr="0007526F" w:rsidRDefault="0007526F" w:rsidP="0007526F">
      <w:pPr>
        <w:numPr>
          <w:ilvl w:val="0"/>
          <w:numId w:val="15"/>
        </w:numPr>
        <w:pBdr>
          <w:top w:val="nil"/>
          <w:left w:val="nil"/>
          <w:bottom w:val="nil"/>
          <w:right w:val="nil"/>
          <w:between w:val="nil"/>
          <w:bar w:val="nil"/>
        </w:pBdr>
        <w:spacing w:after="0" w:line="240" w:lineRule="auto"/>
        <w:ind w:left="90"/>
        <w:rPr>
          <w:rFonts w:ascii="Calibri" w:eastAsia="Calibri" w:hAnsi="Calibri" w:cs="Calibri"/>
          <w:b/>
          <w:bCs/>
          <w:i w:val="0"/>
          <w:iCs w:val="0"/>
          <w:color w:val="C00000"/>
          <w:kern w:val="20"/>
          <w:sz w:val="21"/>
          <w:szCs w:val="21"/>
          <w:u w:color="000000"/>
          <w:bdr w:val="nil"/>
          <w:lang w:val="en-US" w:eastAsia="zh-CN" w:bidi="hi-IN"/>
        </w:rPr>
      </w:pPr>
      <w:r w:rsidRPr="0007526F">
        <w:rPr>
          <w:rFonts w:ascii="Calibri" w:eastAsia="Calibri" w:hAnsi="Calibri" w:cs="Calibri"/>
          <w:b/>
          <w:bCs/>
          <w:i w:val="0"/>
          <w:iCs w:val="0"/>
          <w:color w:val="C00000"/>
          <w:kern w:val="20"/>
          <w:sz w:val="21"/>
          <w:szCs w:val="21"/>
          <w:u w:color="000000"/>
          <w:bdr w:val="nil"/>
          <w:lang w:val="en-US" w:eastAsia="zh-CN" w:bidi="hi-IN"/>
        </w:rPr>
        <w:t>Refer to TMIC in June, July, August 2022 – always asked on SEC Exams</w:t>
      </w:r>
    </w:p>
    <w:p w14:paraId="314641EB" w14:textId="77777777" w:rsidR="0007526F" w:rsidRPr="0007526F" w:rsidRDefault="0007526F" w:rsidP="0007526F">
      <w:pPr>
        <w:pBdr>
          <w:top w:val="nil"/>
          <w:left w:val="nil"/>
          <w:bottom w:val="nil"/>
          <w:right w:val="nil"/>
          <w:between w:val="nil"/>
          <w:bar w:val="nil"/>
        </w:pBdr>
        <w:spacing w:after="0" w:line="240" w:lineRule="auto"/>
        <w:ind w:left="-270"/>
        <w:rPr>
          <w:rFonts w:ascii="Calibri" w:eastAsia="Calibri" w:hAnsi="Calibri" w:cs="Calibri"/>
          <w:i w:val="0"/>
          <w:iCs w:val="0"/>
          <w:color w:val="C00000"/>
          <w:kern w:val="20"/>
          <w:sz w:val="21"/>
          <w:szCs w:val="21"/>
          <w:u w:color="000000"/>
          <w:bdr w:val="nil"/>
          <w:lang w:val="en-US" w:eastAsia="zh-CN" w:bidi="hi-IN"/>
        </w:rPr>
      </w:pPr>
    </w:p>
    <w:p w14:paraId="0C8AE565" w14:textId="2E0C789B" w:rsidR="0007526F" w:rsidRPr="0007526F" w:rsidRDefault="0007526F" w:rsidP="000502FE">
      <w:pPr>
        <w:pBdr>
          <w:top w:val="nil"/>
          <w:left w:val="nil"/>
          <w:bottom w:val="nil"/>
          <w:right w:val="nil"/>
          <w:between w:val="nil"/>
          <w:bar w:val="nil"/>
        </w:pBdr>
        <w:spacing w:after="0" w:line="240" w:lineRule="auto"/>
        <w:rPr>
          <w:rFonts w:ascii="Calibri" w:eastAsia="Calibri" w:hAnsi="Calibri" w:cs="Calibri"/>
          <w:b/>
          <w:bCs/>
          <w:i w:val="0"/>
          <w:iCs w:val="0"/>
          <w:color w:val="C00000"/>
          <w:kern w:val="20"/>
          <w:sz w:val="21"/>
          <w:szCs w:val="21"/>
          <w:u w:color="000000"/>
          <w:bdr w:val="nil"/>
          <w:lang w:val="en-US" w:eastAsia="zh-CN" w:bidi="hi-IN"/>
        </w:rPr>
      </w:pPr>
    </w:p>
    <w:p w14:paraId="2D5819D4" w14:textId="77777777" w:rsidR="002D56E4" w:rsidRPr="00CA30CC" w:rsidRDefault="002D56E4" w:rsidP="00E3782B">
      <w:pPr>
        <w:spacing w:after="0" w:line="240" w:lineRule="auto"/>
        <w:jc w:val="both"/>
        <w:rPr>
          <w:rFonts w:ascii="Calibri" w:hAnsi="Calibri" w:cs="Calibri"/>
          <w:i w:val="0"/>
          <w:iCs w:val="0"/>
          <w:color w:val="000000"/>
          <w:sz w:val="22"/>
          <w:szCs w:val="22"/>
          <w:lang w:val="en-US"/>
        </w:rPr>
      </w:pPr>
    </w:p>
    <w:sectPr w:rsidR="002D56E4" w:rsidRPr="00CA30CC" w:rsidSect="0007526F">
      <w:pgSz w:w="12240" w:h="15840"/>
      <w:pgMar w:top="245" w:right="720" w:bottom="720" w:left="720"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9945" w14:textId="77777777" w:rsidR="00550FA2" w:rsidRDefault="00550FA2" w:rsidP="00C72A58">
      <w:pPr>
        <w:spacing w:after="0" w:line="240" w:lineRule="auto"/>
      </w:pPr>
      <w:r>
        <w:separator/>
      </w:r>
    </w:p>
  </w:endnote>
  <w:endnote w:type="continuationSeparator" w:id="0">
    <w:p w14:paraId="718620CD" w14:textId="77777777" w:rsidR="00550FA2" w:rsidRDefault="00550FA2" w:rsidP="00C72A58">
      <w:pPr>
        <w:spacing w:after="0" w:line="240" w:lineRule="auto"/>
      </w:pPr>
      <w:r>
        <w:continuationSeparator/>
      </w:r>
    </w:p>
  </w:endnote>
  <w:endnote w:type="continuationNotice" w:id="1">
    <w:p w14:paraId="7B3FC4F2" w14:textId="77777777" w:rsidR="00550FA2" w:rsidRDefault="00550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Cambria"/>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4D"/>
    <w:family w:val="roman"/>
    <w:notTrueType/>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Century Gothic">
    <w:altName w:val="Calibri"/>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16227" w14:textId="77777777" w:rsidR="00550FA2" w:rsidRDefault="00550FA2" w:rsidP="00C72A58">
      <w:pPr>
        <w:spacing w:after="0" w:line="240" w:lineRule="auto"/>
      </w:pPr>
      <w:r>
        <w:separator/>
      </w:r>
    </w:p>
  </w:footnote>
  <w:footnote w:type="continuationSeparator" w:id="0">
    <w:p w14:paraId="16509410" w14:textId="77777777" w:rsidR="00550FA2" w:rsidRDefault="00550FA2" w:rsidP="00C72A58">
      <w:pPr>
        <w:spacing w:after="0" w:line="240" w:lineRule="auto"/>
      </w:pPr>
      <w:r>
        <w:continuationSeparator/>
      </w:r>
    </w:p>
  </w:footnote>
  <w:footnote w:type="continuationNotice" w:id="1">
    <w:p w14:paraId="1FFCA194" w14:textId="77777777" w:rsidR="00550FA2" w:rsidRDefault="00550F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4B4"/>
    <w:multiLevelType w:val="hybridMultilevel"/>
    <w:tmpl w:val="6CAC7BCC"/>
    <w:lvl w:ilvl="0" w:tplc="E90E7CB6">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E12A4"/>
    <w:multiLevelType w:val="hybridMultilevel"/>
    <w:tmpl w:val="86A02F32"/>
    <w:lvl w:ilvl="0" w:tplc="E90E7CB6">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D6E61"/>
    <w:multiLevelType w:val="hybridMultilevel"/>
    <w:tmpl w:val="BA862366"/>
    <w:lvl w:ilvl="0" w:tplc="19CE3780">
      <w:start w:val="1"/>
      <w:numFmt w:val="bullet"/>
      <w:lvlText w:val=""/>
      <w:lvlJc w:val="left"/>
      <w:pPr>
        <w:ind w:left="450" w:hanging="360"/>
      </w:pPr>
      <w:rPr>
        <w:rFonts w:ascii="Wingdings" w:hAnsi="Wingdings" w:hint="default"/>
        <w:color w:val="C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E3350DB"/>
    <w:multiLevelType w:val="hybridMultilevel"/>
    <w:tmpl w:val="60A89832"/>
    <w:lvl w:ilvl="0" w:tplc="E90E7CB6">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F3432"/>
    <w:multiLevelType w:val="hybridMultilevel"/>
    <w:tmpl w:val="8310886C"/>
    <w:lvl w:ilvl="0" w:tplc="19CE3780">
      <w:start w:val="1"/>
      <w:numFmt w:val="bullet"/>
      <w:lvlText w:val=""/>
      <w:lvlJc w:val="left"/>
      <w:pPr>
        <w:ind w:left="450" w:hanging="360"/>
      </w:pPr>
      <w:rPr>
        <w:rFonts w:ascii="Wingdings" w:hAnsi="Wingdings" w:hint="default"/>
        <w:color w:val="C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3CE4DD5"/>
    <w:multiLevelType w:val="hybridMultilevel"/>
    <w:tmpl w:val="C7B2AE30"/>
    <w:lvl w:ilvl="0" w:tplc="19CE3780">
      <w:start w:val="1"/>
      <w:numFmt w:val="bullet"/>
      <w:lvlText w:val=""/>
      <w:lvlJc w:val="left"/>
      <w:pPr>
        <w:ind w:left="450" w:hanging="360"/>
      </w:pPr>
      <w:rPr>
        <w:rFonts w:ascii="Wingdings" w:hAnsi="Wingdings" w:hint="default"/>
        <w:color w:val="C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B5D447A"/>
    <w:multiLevelType w:val="hybridMultilevel"/>
    <w:tmpl w:val="B3C881AE"/>
    <w:lvl w:ilvl="0" w:tplc="5C2C5AFA">
      <w:start w:val="1"/>
      <w:numFmt w:val="decimal"/>
      <w:pStyle w:val="numberedtextligh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25B4F"/>
    <w:multiLevelType w:val="hybridMultilevel"/>
    <w:tmpl w:val="7DF22E20"/>
    <w:lvl w:ilvl="0" w:tplc="E90E7CB6">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3313F"/>
    <w:multiLevelType w:val="hybridMultilevel"/>
    <w:tmpl w:val="4B2EAC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1A603F"/>
    <w:multiLevelType w:val="hybridMultilevel"/>
    <w:tmpl w:val="36049418"/>
    <w:lvl w:ilvl="0" w:tplc="04090003">
      <w:start w:val="1"/>
      <w:numFmt w:val="bullet"/>
      <w:lvlText w:val="o"/>
      <w:lvlJc w:val="left"/>
      <w:pPr>
        <w:ind w:left="1440" w:hanging="360"/>
      </w:pPr>
      <w:rPr>
        <w:rFonts w:ascii="Courier New" w:hAnsi="Courier New" w:hint="default"/>
        <w:color w:val="000000" w:themeColor="text1"/>
        <w:sz w:val="24"/>
        <w:szCs w:val="24"/>
      </w:rPr>
    </w:lvl>
    <w:lvl w:ilvl="1" w:tplc="FFFFFFFF">
      <w:start w:val="1"/>
      <w:numFmt w:val="bullet"/>
      <w:lvlText w:val=""/>
      <w:lvlJc w:val="left"/>
      <w:pPr>
        <w:ind w:left="1080" w:hanging="360"/>
      </w:pPr>
      <w:rPr>
        <w:rFonts w:ascii="Wingdings" w:hAnsi="Wingdings" w:hint="default"/>
        <w:color w:val="000000" w:themeColor="text1"/>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2AE5108"/>
    <w:multiLevelType w:val="hybridMultilevel"/>
    <w:tmpl w:val="A852C2A2"/>
    <w:lvl w:ilvl="0" w:tplc="E90E7CB6">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A01E2"/>
    <w:multiLevelType w:val="hybridMultilevel"/>
    <w:tmpl w:val="D706A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18098B"/>
    <w:multiLevelType w:val="hybridMultilevel"/>
    <w:tmpl w:val="8020EC4A"/>
    <w:lvl w:ilvl="0" w:tplc="19CE3780">
      <w:start w:val="1"/>
      <w:numFmt w:val="bullet"/>
      <w:lvlText w:val=""/>
      <w:lvlJc w:val="left"/>
      <w:pPr>
        <w:ind w:left="450" w:hanging="360"/>
      </w:pPr>
      <w:rPr>
        <w:rFonts w:ascii="Wingdings" w:hAnsi="Wingdings" w:hint="default"/>
        <w:color w:val="C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50C32015"/>
    <w:multiLevelType w:val="hybridMultilevel"/>
    <w:tmpl w:val="A64C46BE"/>
    <w:lvl w:ilvl="0" w:tplc="19CE3780">
      <w:start w:val="1"/>
      <w:numFmt w:val="bullet"/>
      <w:lvlText w:val=""/>
      <w:lvlJc w:val="left"/>
      <w:pPr>
        <w:ind w:left="1440" w:hanging="360"/>
      </w:pPr>
      <w:rPr>
        <w:rFonts w:ascii="Wingdings" w:hAnsi="Wingdings" w:hint="default"/>
        <w:color w:val="C00000"/>
        <w:sz w:val="24"/>
        <w:szCs w:val="24"/>
      </w:rPr>
    </w:lvl>
    <w:lvl w:ilvl="1" w:tplc="FFFFFFFF">
      <w:start w:val="1"/>
      <w:numFmt w:val="bullet"/>
      <w:lvlText w:val=""/>
      <w:lvlJc w:val="left"/>
      <w:pPr>
        <w:ind w:left="1080" w:hanging="360"/>
      </w:pPr>
      <w:rPr>
        <w:rFonts w:ascii="Wingdings" w:hAnsi="Wingdings" w:hint="default"/>
        <w:color w:val="000000" w:themeColor="text1"/>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18520A0"/>
    <w:multiLevelType w:val="hybridMultilevel"/>
    <w:tmpl w:val="14C2BFF4"/>
    <w:lvl w:ilvl="0" w:tplc="68D066F2">
      <w:start w:val="1"/>
      <w:numFmt w:val="bullet"/>
      <w:lvlText w:val="o"/>
      <w:lvlJc w:val="left"/>
      <w:pPr>
        <w:ind w:left="720" w:hanging="360"/>
      </w:pPr>
      <w:rPr>
        <w:rFonts w:ascii="Wingdings" w:hAnsi="Wingdings"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B4E57"/>
    <w:multiLevelType w:val="hybridMultilevel"/>
    <w:tmpl w:val="70C6E136"/>
    <w:lvl w:ilvl="0" w:tplc="19CE3780">
      <w:start w:val="1"/>
      <w:numFmt w:val="bullet"/>
      <w:lvlText w:val=""/>
      <w:lvlJc w:val="left"/>
      <w:pPr>
        <w:ind w:left="450" w:hanging="360"/>
      </w:pPr>
      <w:rPr>
        <w:rFonts w:ascii="Wingdings" w:hAnsi="Wingdings" w:hint="default"/>
        <w:color w:val="C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63022195"/>
    <w:multiLevelType w:val="hybridMultilevel"/>
    <w:tmpl w:val="1004C6FA"/>
    <w:lvl w:ilvl="0" w:tplc="19CE3780">
      <w:start w:val="1"/>
      <w:numFmt w:val="bullet"/>
      <w:lvlText w:val=""/>
      <w:lvlJc w:val="left"/>
      <w:pPr>
        <w:ind w:left="450" w:hanging="360"/>
      </w:pPr>
      <w:rPr>
        <w:rFonts w:ascii="Wingdings" w:hAnsi="Wingdings" w:hint="default"/>
        <w:color w:val="C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4183403"/>
    <w:multiLevelType w:val="hybridMultilevel"/>
    <w:tmpl w:val="46B022D0"/>
    <w:lvl w:ilvl="0" w:tplc="E90E7CB6">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A19A8"/>
    <w:multiLevelType w:val="hybridMultilevel"/>
    <w:tmpl w:val="DBB408EC"/>
    <w:lvl w:ilvl="0" w:tplc="E90E7CB6">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176E3"/>
    <w:multiLevelType w:val="hybridMultilevel"/>
    <w:tmpl w:val="C8063DD8"/>
    <w:lvl w:ilvl="0" w:tplc="E90E7CB6">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61D77"/>
    <w:multiLevelType w:val="hybridMultilevel"/>
    <w:tmpl w:val="A1C4466A"/>
    <w:lvl w:ilvl="0" w:tplc="FCD6341E">
      <w:start w:val="1"/>
      <w:numFmt w:val="bullet"/>
      <w:pStyle w:val="AdditonalADVBox"/>
      <w:lvlText w:val="o"/>
      <w:lvlJc w:val="left"/>
      <w:pPr>
        <w:ind w:left="1080" w:hanging="360"/>
      </w:pPr>
      <w:rPr>
        <w:rFonts w:ascii="Wingdings" w:hAnsi="Wingdings" w:hint="default"/>
        <w:color w:val="000000" w:themeColor="text1"/>
      </w:rPr>
    </w:lvl>
    <w:lvl w:ilvl="1" w:tplc="FDA8CF68">
      <w:start w:val="1"/>
      <w:numFmt w:val="bullet"/>
      <w:lvlText w:val="o"/>
      <w:lvlJc w:val="left"/>
      <w:pPr>
        <w:ind w:left="1170" w:hanging="360"/>
      </w:pPr>
      <w:rPr>
        <w:rFonts w:ascii="Courier New" w:hAnsi="Courier New" w:cs="Courier New" w:hint="default"/>
        <w:color w:val="000000" w:themeColor="text1"/>
      </w:rPr>
    </w:lvl>
    <w:lvl w:ilvl="2" w:tplc="04090005">
      <w:start w:val="1"/>
      <w:numFmt w:val="bullet"/>
      <w:lvlText w:val=""/>
      <w:lvlJc w:val="left"/>
      <w:pPr>
        <w:ind w:left="1890" w:hanging="360"/>
      </w:pPr>
      <w:rPr>
        <w:rFonts w:ascii="Wingdings" w:hAnsi="Wingdings" w:cs="Wingdings" w:hint="default"/>
      </w:rPr>
    </w:lvl>
    <w:lvl w:ilvl="3" w:tplc="04090001" w:tentative="1">
      <w:start w:val="1"/>
      <w:numFmt w:val="bullet"/>
      <w:lvlText w:val=""/>
      <w:lvlJc w:val="left"/>
      <w:pPr>
        <w:ind w:left="2610" w:hanging="360"/>
      </w:pPr>
      <w:rPr>
        <w:rFonts w:ascii="Symbol" w:hAnsi="Symbol" w:cs="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21" w15:restartNumberingAfterBreak="0">
    <w:nsid w:val="773A4A36"/>
    <w:multiLevelType w:val="hybridMultilevel"/>
    <w:tmpl w:val="632C05B8"/>
    <w:lvl w:ilvl="0" w:tplc="E90E7CB6">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C2EC6"/>
    <w:multiLevelType w:val="hybridMultilevel"/>
    <w:tmpl w:val="43CC73EE"/>
    <w:lvl w:ilvl="0" w:tplc="E90E7CB6">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930377">
    <w:abstractNumId w:val="6"/>
  </w:num>
  <w:num w:numId="2" w16cid:durableId="1176382427">
    <w:abstractNumId w:val="20"/>
  </w:num>
  <w:num w:numId="3" w16cid:durableId="1120875482">
    <w:abstractNumId w:val="19"/>
  </w:num>
  <w:num w:numId="4" w16cid:durableId="263080795">
    <w:abstractNumId w:val="22"/>
  </w:num>
  <w:num w:numId="5" w16cid:durableId="1005329489">
    <w:abstractNumId w:val="10"/>
  </w:num>
  <w:num w:numId="6" w16cid:durableId="2041779293">
    <w:abstractNumId w:val="3"/>
  </w:num>
  <w:num w:numId="7" w16cid:durableId="1264075863">
    <w:abstractNumId w:val="17"/>
  </w:num>
  <w:num w:numId="8" w16cid:durableId="820074679">
    <w:abstractNumId w:val="0"/>
  </w:num>
  <w:num w:numId="9" w16cid:durableId="1489051900">
    <w:abstractNumId w:val="7"/>
  </w:num>
  <w:num w:numId="10" w16cid:durableId="1269696544">
    <w:abstractNumId w:val="1"/>
  </w:num>
  <w:num w:numId="11" w16cid:durableId="79255434">
    <w:abstractNumId w:val="18"/>
  </w:num>
  <w:num w:numId="12" w16cid:durableId="25377414">
    <w:abstractNumId w:val="21"/>
  </w:num>
  <w:num w:numId="13" w16cid:durableId="569388272">
    <w:abstractNumId w:val="14"/>
  </w:num>
  <w:num w:numId="14" w16cid:durableId="1713073512">
    <w:abstractNumId w:val="11"/>
  </w:num>
  <w:num w:numId="15" w16cid:durableId="1723476926">
    <w:abstractNumId w:val="4"/>
  </w:num>
  <w:num w:numId="16" w16cid:durableId="1292905104">
    <w:abstractNumId w:val="12"/>
  </w:num>
  <w:num w:numId="17" w16cid:durableId="558825692">
    <w:abstractNumId w:val="15"/>
  </w:num>
  <w:num w:numId="18" w16cid:durableId="676464444">
    <w:abstractNumId w:val="2"/>
  </w:num>
  <w:num w:numId="19" w16cid:durableId="753210953">
    <w:abstractNumId w:val="16"/>
  </w:num>
  <w:num w:numId="20" w16cid:durableId="529759631">
    <w:abstractNumId w:val="5"/>
  </w:num>
  <w:num w:numId="21" w16cid:durableId="848912081">
    <w:abstractNumId w:val="9"/>
  </w:num>
  <w:num w:numId="22" w16cid:durableId="819077512">
    <w:abstractNumId w:val="13"/>
  </w:num>
  <w:num w:numId="23" w16cid:durableId="46674782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B7"/>
    <w:rsid w:val="0000738D"/>
    <w:rsid w:val="0001182B"/>
    <w:rsid w:val="00013864"/>
    <w:rsid w:val="000153F9"/>
    <w:rsid w:val="00017523"/>
    <w:rsid w:val="00024B91"/>
    <w:rsid w:val="0002590E"/>
    <w:rsid w:val="0003167A"/>
    <w:rsid w:val="00035C76"/>
    <w:rsid w:val="00042186"/>
    <w:rsid w:val="000502FE"/>
    <w:rsid w:val="00052E5F"/>
    <w:rsid w:val="00053CF4"/>
    <w:rsid w:val="00056C71"/>
    <w:rsid w:val="000603D2"/>
    <w:rsid w:val="00071054"/>
    <w:rsid w:val="00071CF0"/>
    <w:rsid w:val="00071E86"/>
    <w:rsid w:val="00072B16"/>
    <w:rsid w:val="00073325"/>
    <w:rsid w:val="0007526F"/>
    <w:rsid w:val="00080643"/>
    <w:rsid w:val="00083B67"/>
    <w:rsid w:val="00093908"/>
    <w:rsid w:val="00096446"/>
    <w:rsid w:val="000A7408"/>
    <w:rsid w:val="000B14B7"/>
    <w:rsid w:val="000B44A1"/>
    <w:rsid w:val="000B667F"/>
    <w:rsid w:val="000B6D9A"/>
    <w:rsid w:val="000C08A2"/>
    <w:rsid w:val="000C2497"/>
    <w:rsid w:val="000C78A0"/>
    <w:rsid w:val="000D152C"/>
    <w:rsid w:val="000D4130"/>
    <w:rsid w:val="000D44A0"/>
    <w:rsid w:val="000D4821"/>
    <w:rsid w:val="000E2560"/>
    <w:rsid w:val="000E2926"/>
    <w:rsid w:val="000E5836"/>
    <w:rsid w:val="00101163"/>
    <w:rsid w:val="001050CA"/>
    <w:rsid w:val="00111F2E"/>
    <w:rsid w:val="0011413D"/>
    <w:rsid w:val="001200C5"/>
    <w:rsid w:val="001206DD"/>
    <w:rsid w:val="00123D05"/>
    <w:rsid w:val="00126C84"/>
    <w:rsid w:val="0013489A"/>
    <w:rsid w:val="001539A8"/>
    <w:rsid w:val="001541C5"/>
    <w:rsid w:val="00157E8F"/>
    <w:rsid w:val="00163B21"/>
    <w:rsid w:val="00164E06"/>
    <w:rsid w:val="00170CCE"/>
    <w:rsid w:val="00181C40"/>
    <w:rsid w:val="00185F54"/>
    <w:rsid w:val="001866E2"/>
    <w:rsid w:val="00187A03"/>
    <w:rsid w:val="001939D3"/>
    <w:rsid w:val="00196C44"/>
    <w:rsid w:val="00197CBC"/>
    <w:rsid w:val="001A3A0E"/>
    <w:rsid w:val="001B58C8"/>
    <w:rsid w:val="001C5DCD"/>
    <w:rsid w:val="001C7270"/>
    <w:rsid w:val="001D1F7A"/>
    <w:rsid w:val="001D214A"/>
    <w:rsid w:val="001D60DE"/>
    <w:rsid w:val="001E06F4"/>
    <w:rsid w:val="001E64AE"/>
    <w:rsid w:val="001F608E"/>
    <w:rsid w:val="001F637A"/>
    <w:rsid w:val="002050A9"/>
    <w:rsid w:val="00206927"/>
    <w:rsid w:val="00210168"/>
    <w:rsid w:val="00212260"/>
    <w:rsid w:val="00213862"/>
    <w:rsid w:val="00214D1E"/>
    <w:rsid w:val="00225D48"/>
    <w:rsid w:val="00235667"/>
    <w:rsid w:val="0024258C"/>
    <w:rsid w:val="00243D32"/>
    <w:rsid w:val="00251167"/>
    <w:rsid w:val="002609F0"/>
    <w:rsid w:val="00260E45"/>
    <w:rsid w:val="00265CAC"/>
    <w:rsid w:val="00266018"/>
    <w:rsid w:val="00277F6F"/>
    <w:rsid w:val="00281205"/>
    <w:rsid w:val="002935F4"/>
    <w:rsid w:val="00296C9E"/>
    <w:rsid w:val="0029769B"/>
    <w:rsid w:val="0029793B"/>
    <w:rsid w:val="002A2503"/>
    <w:rsid w:val="002B0988"/>
    <w:rsid w:val="002B2511"/>
    <w:rsid w:val="002B58A8"/>
    <w:rsid w:val="002B614F"/>
    <w:rsid w:val="002B768E"/>
    <w:rsid w:val="002C36B1"/>
    <w:rsid w:val="002C5F8A"/>
    <w:rsid w:val="002D1DA0"/>
    <w:rsid w:val="002D38D2"/>
    <w:rsid w:val="002D56E4"/>
    <w:rsid w:val="002E253D"/>
    <w:rsid w:val="002E38B6"/>
    <w:rsid w:val="002F0E70"/>
    <w:rsid w:val="00300400"/>
    <w:rsid w:val="003012F1"/>
    <w:rsid w:val="003014E0"/>
    <w:rsid w:val="00302221"/>
    <w:rsid w:val="00310CDA"/>
    <w:rsid w:val="00317852"/>
    <w:rsid w:val="00322A8C"/>
    <w:rsid w:val="00325BF6"/>
    <w:rsid w:val="003325F2"/>
    <w:rsid w:val="003347CE"/>
    <w:rsid w:val="00335D3D"/>
    <w:rsid w:val="00340E73"/>
    <w:rsid w:val="0034152F"/>
    <w:rsid w:val="00344D4E"/>
    <w:rsid w:val="003479E0"/>
    <w:rsid w:val="00364D1B"/>
    <w:rsid w:val="00372907"/>
    <w:rsid w:val="003733E7"/>
    <w:rsid w:val="00381B4A"/>
    <w:rsid w:val="00384929"/>
    <w:rsid w:val="00386F6C"/>
    <w:rsid w:val="00392D58"/>
    <w:rsid w:val="00397A33"/>
    <w:rsid w:val="003A216E"/>
    <w:rsid w:val="003A28DA"/>
    <w:rsid w:val="003A7113"/>
    <w:rsid w:val="003B1BAE"/>
    <w:rsid w:val="003B2E36"/>
    <w:rsid w:val="003C5715"/>
    <w:rsid w:val="003E647F"/>
    <w:rsid w:val="003F0B03"/>
    <w:rsid w:val="003F11AA"/>
    <w:rsid w:val="003F12A2"/>
    <w:rsid w:val="003F3AB5"/>
    <w:rsid w:val="003F5C74"/>
    <w:rsid w:val="003F63BF"/>
    <w:rsid w:val="004026E1"/>
    <w:rsid w:val="004124E7"/>
    <w:rsid w:val="00415A51"/>
    <w:rsid w:val="00417F06"/>
    <w:rsid w:val="004211B3"/>
    <w:rsid w:val="00426663"/>
    <w:rsid w:val="00431966"/>
    <w:rsid w:val="004320ED"/>
    <w:rsid w:val="00442110"/>
    <w:rsid w:val="0044538F"/>
    <w:rsid w:val="00446D3B"/>
    <w:rsid w:val="00457C39"/>
    <w:rsid w:val="004642DA"/>
    <w:rsid w:val="00470D4D"/>
    <w:rsid w:val="00476DC0"/>
    <w:rsid w:val="00477D42"/>
    <w:rsid w:val="00477F18"/>
    <w:rsid w:val="00481023"/>
    <w:rsid w:val="00482C17"/>
    <w:rsid w:val="00487CA2"/>
    <w:rsid w:val="00492A3E"/>
    <w:rsid w:val="00492C93"/>
    <w:rsid w:val="004947EB"/>
    <w:rsid w:val="0049773B"/>
    <w:rsid w:val="004A40BD"/>
    <w:rsid w:val="004A58C0"/>
    <w:rsid w:val="004A61D3"/>
    <w:rsid w:val="004A7EE0"/>
    <w:rsid w:val="004B2724"/>
    <w:rsid w:val="004B7167"/>
    <w:rsid w:val="004C21C0"/>
    <w:rsid w:val="004D065F"/>
    <w:rsid w:val="004D1605"/>
    <w:rsid w:val="004D1A33"/>
    <w:rsid w:val="004D1E21"/>
    <w:rsid w:val="004D2712"/>
    <w:rsid w:val="004D5683"/>
    <w:rsid w:val="004D6C21"/>
    <w:rsid w:val="004D723C"/>
    <w:rsid w:val="004D7B50"/>
    <w:rsid w:val="004D7BA7"/>
    <w:rsid w:val="004E02E6"/>
    <w:rsid w:val="004F3DD8"/>
    <w:rsid w:val="004F413A"/>
    <w:rsid w:val="004F6407"/>
    <w:rsid w:val="00500AC4"/>
    <w:rsid w:val="00504263"/>
    <w:rsid w:val="0050475C"/>
    <w:rsid w:val="00504C67"/>
    <w:rsid w:val="00510551"/>
    <w:rsid w:val="00514ADF"/>
    <w:rsid w:val="00515547"/>
    <w:rsid w:val="005169A1"/>
    <w:rsid w:val="00517DF5"/>
    <w:rsid w:val="00525378"/>
    <w:rsid w:val="00526404"/>
    <w:rsid w:val="00527EE9"/>
    <w:rsid w:val="005314E1"/>
    <w:rsid w:val="00531D65"/>
    <w:rsid w:val="005330D1"/>
    <w:rsid w:val="00534301"/>
    <w:rsid w:val="005362EF"/>
    <w:rsid w:val="00537560"/>
    <w:rsid w:val="00537717"/>
    <w:rsid w:val="00544A99"/>
    <w:rsid w:val="005504CD"/>
    <w:rsid w:val="005507E3"/>
    <w:rsid w:val="00550FA2"/>
    <w:rsid w:val="00561A99"/>
    <w:rsid w:val="00562A2E"/>
    <w:rsid w:val="005636A5"/>
    <w:rsid w:val="00574021"/>
    <w:rsid w:val="00574255"/>
    <w:rsid w:val="00587F22"/>
    <w:rsid w:val="00597613"/>
    <w:rsid w:val="005A24D2"/>
    <w:rsid w:val="005A6523"/>
    <w:rsid w:val="005A6609"/>
    <w:rsid w:val="005A6D6F"/>
    <w:rsid w:val="005A7FDC"/>
    <w:rsid w:val="005B0F0E"/>
    <w:rsid w:val="005B40FE"/>
    <w:rsid w:val="005B4311"/>
    <w:rsid w:val="005B59B2"/>
    <w:rsid w:val="005C2A03"/>
    <w:rsid w:val="005C2E03"/>
    <w:rsid w:val="005C32E3"/>
    <w:rsid w:val="005C4DCB"/>
    <w:rsid w:val="005D0913"/>
    <w:rsid w:val="005D4B8F"/>
    <w:rsid w:val="005D75CA"/>
    <w:rsid w:val="005F6F3E"/>
    <w:rsid w:val="00602F37"/>
    <w:rsid w:val="00603B24"/>
    <w:rsid w:val="00610F52"/>
    <w:rsid w:val="00611097"/>
    <w:rsid w:val="00611D7F"/>
    <w:rsid w:val="00614894"/>
    <w:rsid w:val="00615445"/>
    <w:rsid w:val="00627DC4"/>
    <w:rsid w:val="006307EF"/>
    <w:rsid w:val="00635404"/>
    <w:rsid w:val="006428A1"/>
    <w:rsid w:val="006445F8"/>
    <w:rsid w:val="00646C65"/>
    <w:rsid w:val="00653A8E"/>
    <w:rsid w:val="00653EE6"/>
    <w:rsid w:val="00654E57"/>
    <w:rsid w:val="00660BAC"/>
    <w:rsid w:val="00664788"/>
    <w:rsid w:val="0066727C"/>
    <w:rsid w:val="00673CB5"/>
    <w:rsid w:val="006755C0"/>
    <w:rsid w:val="00680CC0"/>
    <w:rsid w:val="00681242"/>
    <w:rsid w:val="006816E3"/>
    <w:rsid w:val="00683972"/>
    <w:rsid w:val="00684CD1"/>
    <w:rsid w:val="00684F96"/>
    <w:rsid w:val="006868B5"/>
    <w:rsid w:val="0068746E"/>
    <w:rsid w:val="00690A8F"/>
    <w:rsid w:val="00690E87"/>
    <w:rsid w:val="006A18C8"/>
    <w:rsid w:val="006A3658"/>
    <w:rsid w:val="006A4EEA"/>
    <w:rsid w:val="006B0C17"/>
    <w:rsid w:val="006B45B4"/>
    <w:rsid w:val="006B4D60"/>
    <w:rsid w:val="006B506E"/>
    <w:rsid w:val="006B68E8"/>
    <w:rsid w:val="006C3BF7"/>
    <w:rsid w:val="006C7049"/>
    <w:rsid w:val="006D1386"/>
    <w:rsid w:val="006D209C"/>
    <w:rsid w:val="006E5048"/>
    <w:rsid w:val="006E54DD"/>
    <w:rsid w:val="006F63A7"/>
    <w:rsid w:val="006F64AA"/>
    <w:rsid w:val="006F7CFE"/>
    <w:rsid w:val="00705DB4"/>
    <w:rsid w:val="00714D58"/>
    <w:rsid w:val="007164D1"/>
    <w:rsid w:val="007200B6"/>
    <w:rsid w:val="0072176A"/>
    <w:rsid w:val="0073261D"/>
    <w:rsid w:val="007327C6"/>
    <w:rsid w:val="00733438"/>
    <w:rsid w:val="00733938"/>
    <w:rsid w:val="007341F6"/>
    <w:rsid w:val="00735A01"/>
    <w:rsid w:val="00741972"/>
    <w:rsid w:val="00741FD2"/>
    <w:rsid w:val="0074205D"/>
    <w:rsid w:val="007428BC"/>
    <w:rsid w:val="00747D45"/>
    <w:rsid w:val="0075053E"/>
    <w:rsid w:val="007558E4"/>
    <w:rsid w:val="00756463"/>
    <w:rsid w:val="00771DED"/>
    <w:rsid w:val="00774810"/>
    <w:rsid w:val="00781ADB"/>
    <w:rsid w:val="00782780"/>
    <w:rsid w:val="007830B9"/>
    <w:rsid w:val="0078472C"/>
    <w:rsid w:val="007A31DE"/>
    <w:rsid w:val="007A651F"/>
    <w:rsid w:val="007B2302"/>
    <w:rsid w:val="007B6100"/>
    <w:rsid w:val="007C6145"/>
    <w:rsid w:val="007D39B3"/>
    <w:rsid w:val="007D5AA3"/>
    <w:rsid w:val="007D625E"/>
    <w:rsid w:val="007D7358"/>
    <w:rsid w:val="007D7669"/>
    <w:rsid w:val="007E7AD8"/>
    <w:rsid w:val="007F0145"/>
    <w:rsid w:val="007F560D"/>
    <w:rsid w:val="00800079"/>
    <w:rsid w:val="0080610B"/>
    <w:rsid w:val="008111F1"/>
    <w:rsid w:val="00812D79"/>
    <w:rsid w:val="00823AF8"/>
    <w:rsid w:val="008271A7"/>
    <w:rsid w:val="00832A66"/>
    <w:rsid w:val="00832DBC"/>
    <w:rsid w:val="00833CEC"/>
    <w:rsid w:val="00836B9D"/>
    <w:rsid w:val="00843726"/>
    <w:rsid w:val="00845DAB"/>
    <w:rsid w:val="00851D13"/>
    <w:rsid w:val="008542F1"/>
    <w:rsid w:val="00854426"/>
    <w:rsid w:val="00854C69"/>
    <w:rsid w:val="00854EBB"/>
    <w:rsid w:val="008621CA"/>
    <w:rsid w:val="0086356E"/>
    <w:rsid w:val="008662EB"/>
    <w:rsid w:val="00867319"/>
    <w:rsid w:val="008729AF"/>
    <w:rsid w:val="008752EA"/>
    <w:rsid w:val="008755B1"/>
    <w:rsid w:val="00882954"/>
    <w:rsid w:val="00883A4B"/>
    <w:rsid w:val="008840B8"/>
    <w:rsid w:val="008843FE"/>
    <w:rsid w:val="00885DF2"/>
    <w:rsid w:val="008926D8"/>
    <w:rsid w:val="008A2438"/>
    <w:rsid w:val="008A2910"/>
    <w:rsid w:val="008B2546"/>
    <w:rsid w:val="008B397C"/>
    <w:rsid w:val="008C29F9"/>
    <w:rsid w:val="008D11DF"/>
    <w:rsid w:val="008D58C4"/>
    <w:rsid w:val="008E378A"/>
    <w:rsid w:val="008E405B"/>
    <w:rsid w:val="008E4FA1"/>
    <w:rsid w:val="008E6076"/>
    <w:rsid w:val="008F05C5"/>
    <w:rsid w:val="008F3177"/>
    <w:rsid w:val="008F3294"/>
    <w:rsid w:val="008F49CD"/>
    <w:rsid w:val="008F4A12"/>
    <w:rsid w:val="008F567B"/>
    <w:rsid w:val="00900AE2"/>
    <w:rsid w:val="009025A4"/>
    <w:rsid w:val="009034F5"/>
    <w:rsid w:val="00904073"/>
    <w:rsid w:val="00916440"/>
    <w:rsid w:val="009179B7"/>
    <w:rsid w:val="00933346"/>
    <w:rsid w:val="00933359"/>
    <w:rsid w:val="0093426A"/>
    <w:rsid w:val="0093640A"/>
    <w:rsid w:val="00940B1A"/>
    <w:rsid w:val="0095121C"/>
    <w:rsid w:val="0095150E"/>
    <w:rsid w:val="009523AF"/>
    <w:rsid w:val="009527BD"/>
    <w:rsid w:val="00953D5E"/>
    <w:rsid w:val="00956AAA"/>
    <w:rsid w:val="009573BC"/>
    <w:rsid w:val="00970629"/>
    <w:rsid w:val="00970906"/>
    <w:rsid w:val="00972926"/>
    <w:rsid w:val="00975902"/>
    <w:rsid w:val="009826C8"/>
    <w:rsid w:val="0098682E"/>
    <w:rsid w:val="00994FCB"/>
    <w:rsid w:val="009A6D03"/>
    <w:rsid w:val="009B1DE3"/>
    <w:rsid w:val="009B3009"/>
    <w:rsid w:val="009B388E"/>
    <w:rsid w:val="009B642C"/>
    <w:rsid w:val="009B6434"/>
    <w:rsid w:val="009C0967"/>
    <w:rsid w:val="009C13F7"/>
    <w:rsid w:val="009C2DFE"/>
    <w:rsid w:val="009C59D2"/>
    <w:rsid w:val="009C73DF"/>
    <w:rsid w:val="009D4A9B"/>
    <w:rsid w:val="009D59DA"/>
    <w:rsid w:val="009D64DC"/>
    <w:rsid w:val="009F0F2B"/>
    <w:rsid w:val="009F18F3"/>
    <w:rsid w:val="009F4BEC"/>
    <w:rsid w:val="009F4EDC"/>
    <w:rsid w:val="00A01225"/>
    <w:rsid w:val="00A07B77"/>
    <w:rsid w:val="00A13FA8"/>
    <w:rsid w:val="00A176EE"/>
    <w:rsid w:val="00A204AC"/>
    <w:rsid w:val="00A23026"/>
    <w:rsid w:val="00A23B77"/>
    <w:rsid w:val="00A24101"/>
    <w:rsid w:val="00A25A3D"/>
    <w:rsid w:val="00A30531"/>
    <w:rsid w:val="00A31FE6"/>
    <w:rsid w:val="00A33147"/>
    <w:rsid w:val="00A37F33"/>
    <w:rsid w:val="00A5223B"/>
    <w:rsid w:val="00A53F73"/>
    <w:rsid w:val="00A565B2"/>
    <w:rsid w:val="00A5695D"/>
    <w:rsid w:val="00A577CF"/>
    <w:rsid w:val="00A708DC"/>
    <w:rsid w:val="00A829E9"/>
    <w:rsid w:val="00A83424"/>
    <w:rsid w:val="00A916F3"/>
    <w:rsid w:val="00A94109"/>
    <w:rsid w:val="00A9694C"/>
    <w:rsid w:val="00A97C3D"/>
    <w:rsid w:val="00AA1728"/>
    <w:rsid w:val="00AA57DA"/>
    <w:rsid w:val="00AA5EFB"/>
    <w:rsid w:val="00AA61CD"/>
    <w:rsid w:val="00AA6768"/>
    <w:rsid w:val="00AA7EDB"/>
    <w:rsid w:val="00AB1B45"/>
    <w:rsid w:val="00AC0AB5"/>
    <w:rsid w:val="00AC0CAF"/>
    <w:rsid w:val="00AC4FAB"/>
    <w:rsid w:val="00AC5323"/>
    <w:rsid w:val="00AC7B5D"/>
    <w:rsid w:val="00AE3096"/>
    <w:rsid w:val="00AE36CF"/>
    <w:rsid w:val="00AE5003"/>
    <w:rsid w:val="00AE7B1C"/>
    <w:rsid w:val="00AF0E85"/>
    <w:rsid w:val="00AF37F2"/>
    <w:rsid w:val="00AF6E3F"/>
    <w:rsid w:val="00AF7381"/>
    <w:rsid w:val="00AF7747"/>
    <w:rsid w:val="00B006CB"/>
    <w:rsid w:val="00B0730F"/>
    <w:rsid w:val="00B113A4"/>
    <w:rsid w:val="00B16B78"/>
    <w:rsid w:val="00B17DB9"/>
    <w:rsid w:val="00B20406"/>
    <w:rsid w:val="00B22463"/>
    <w:rsid w:val="00B30083"/>
    <w:rsid w:val="00B305D3"/>
    <w:rsid w:val="00B311CF"/>
    <w:rsid w:val="00B31979"/>
    <w:rsid w:val="00B34FAD"/>
    <w:rsid w:val="00B374E1"/>
    <w:rsid w:val="00B4333F"/>
    <w:rsid w:val="00B53F4C"/>
    <w:rsid w:val="00B653EB"/>
    <w:rsid w:val="00B81DB9"/>
    <w:rsid w:val="00B847BB"/>
    <w:rsid w:val="00B86312"/>
    <w:rsid w:val="00B86ED1"/>
    <w:rsid w:val="00B915B2"/>
    <w:rsid w:val="00B97C0C"/>
    <w:rsid w:val="00BA2C2F"/>
    <w:rsid w:val="00BB4E21"/>
    <w:rsid w:val="00BB7CDF"/>
    <w:rsid w:val="00BC2BAB"/>
    <w:rsid w:val="00BC3098"/>
    <w:rsid w:val="00BC5067"/>
    <w:rsid w:val="00BD22EA"/>
    <w:rsid w:val="00BE5EDF"/>
    <w:rsid w:val="00BF6023"/>
    <w:rsid w:val="00C2515D"/>
    <w:rsid w:val="00C265CC"/>
    <w:rsid w:val="00C321AB"/>
    <w:rsid w:val="00C41586"/>
    <w:rsid w:val="00C43ACA"/>
    <w:rsid w:val="00C43F2D"/>
    <w:rsid w:val="00C4491C"/>
    <w:rsid w:val="00C500EF"/>
    <w:rsid w:val="00C51ED3"/>
    <w:rsid w:val="00C54E6D"/>
    <w:rsid w:val="00C54ECF"/>
    <w:rsid w:val="00C56290"/>
    <w:rsid w:val="00C60B3E"/>
    <w:rsid w:val="00C62EED"/>
    <w:rsid w:val="00C6683B"/>
    <w:rsid w:val="00C71B3F"/>
    <w:rsid w:val="00C72A58"/>
    <w:rsid w:val="00C73E4B"/>
    <w:rsid w:val="00C746C2"/>
    <w:rsid w:val="00C80F6A"/>
    <w:rsid w:val="00C91106"/>
    <w:rsid w:val="00C93DD5"/>
    <w:rsid w:val="00C95979"/>
    <w:rsid w:val="00CA30CC"/>
    <w:rsid w:val="00CA5351"/>
    <w:rsid w:val="00CA5CF1"/>
    <w:rsid w:val="00CC09EE"/>
    <w:rsid w:val="00CC5030"/>
    <w:rsid w:val="00CC53E7"/>
    <w:rsid w:val="00CC75FC"/>
    <w:rsid w:val="00CD2B14"/>
    <w:rsid w:val="00CD642A"/>
    <w:rsid w:val="00CE0714"/>
    <w:rsid w:val="00CE3A7F"/>
    <w:rsid w:val="00CE6907"/>
    <w:rsid w:val="00CF4466"/>
    <w:rsid w:val="00CF6684"/>
    <w:rsid w:val="00D02F35"/>
    <w:rsid w:val="00D04CC3"/>
    <w:rsid w:val="00D14C70"/>
    <w:rsid w:val="00D20BE8"/>
    <w:rsid w:val="00D21AB8"/>
    <w:rsid w:val="00D31E65"/>
    <w:rsid w:val="00D40F98"/>
    <w:rsid w:val="00D42C92"/>
    <w:rsid w:val="00D44830"/>
    <w:rsid w:val="00D53871"/>
    <w:rsid w:val="00D57B44"/>
    <w:rsid w:val="00D675F3"/>
    <w:rsid w:val="00D727E7"/>
    <w:rsid w:val="00D7496B"/>
    <w:rsid w:val="00D805E8"/>
    <w:rsid w:val="00D823C4"/>
    <w:rsid w:val="00D84357"/>
    <w:rsid w:val="00D8762C"/>
    <w:rsid w:val="00D9086E"/>
    <w:rsid w:val="00D926BA"/>
    <w:rsid w:val="00D93E1A"/>
    <w:rsid w:val="00DA3917"/>
    <w:rsid w:val="00DA3D34"/>
    <w:rsid w:val="00DA5CEC"/>
    <w:rsid w:val="00DA6884"/>
    <w:rsid w:val="00DA7609"/>
    <w:rsid w:val="00DC2E75"/>
    <w:rsid w:val="00DC3A3B"/>
    <w:rsid w:val="00DC6462"/>
    <w:rsid w:val="00DC6BF6"/>
    <w:rsid w:val="00DD21FA"/>
    <w:rsid w:val="00DD2E55"/>
    <w:rsid w:val="00DD4C87"/>
    <w:rsid w:val="00DD55D0"/>
    <w:rsid w:val="00DD5D75"/>
    <w:rsid w:val="00DD6B72"/>
    <w:rsid w:val="00DE0E9D"/>
    <w:rsid w:val="00DE4ED6"/>
    <w:rsid w:val="00DE516B"/>
    <w:rsid w:val="00DE5CA5"/>
    <w:rsid w:val="00DF54FD"/>
    <w:rsid w:val="00DF58EB"/>
    <w:rsid w:val="00E017A9"/>
    <w:rsid w:val="00E0274F"/>
    <w:rsid w:val="00E03FFF"/>
    <w:rsid w:val="00E07A42"/>
    <w:rsid w:val="00E10EDB"/>
    <w:rsid w:val="00E12E97"/>
    <w:rsid w:val="00E2126C"/>
    <w:rsid w:val="00E24278"/>
    <w:rsid w:val="00E3563E"/>
    <w:rsid w:val="00E361D6"/>
    <w:rsid w:val="00E3782B"/>
    <w:rsid w:val="00E40078"/>
    <w:rsid w:val="00E43C61"/>
    <w:rsid w:val="00E4426D"/>
    <w:rsid w:val="00E45B8B"/>
    <w:rsid w:val="00E50F7C"/>
    <w:rsid w:val="00E51345"/>
    <w:rsid w:val="00E52FAD"/>
    <w:rsid w:val="00E54BA4"/>
    <w:rsid w:val="00E55766"/>
    <w:rsid w:val="00E56BC1"/>
    <w:rsid w:val="00E62A64"/>
    <w:rsid w:val="00E66CB4"/>
    <w:rsid w:val="00E758FC"/>
    <w:rsid w:val="00E81532"/>
    <w:rsid w:val="00E81B19"/>
    <w:rsid w:val="00E82C02"/>
    <w:rsid w:val="00E90DA1"/>
    <w:rsid w:val="00E94C94"/>
    <w:rsid w:val="00EA0D8F"/>
    <w:rsid w:val="00EA1019"/>
    <w:rsid w:val="00EB3461"/>
    <w:rsid w:val="00EB3532"/>
    <w:rsid w:val="00EB3C64"/>
    <w:rsid w:val="00EB4FC1"/>
    <w:rsid w:val="00EB5FC5"/>
    <w:rsid w:val="00EC0684"/>
    <w:rsid w:val="00EC44C8"/>
    <w:rsid w:val="00EC5A58"/>
    <w:rsid w:val="00EC7C37"/>
    <w:rsid w:val="00EE4F4A"/>
    <w:rsid w:val="00EE65B8"/>
    <w:rsid w:val="00EF0570"/>
    <w:rsid w:val="00EF118B"/>
    <w:rsid w:val="00EF676B"/>
    <w:rsid w:val="00F009BF"/>
    <w:rsid w:val="00F03D7C"/>
    <w:rsid w:val="00F045AC"/>
    <w:rsid w:val="00F04680"/>
    <w:rsid w:val="00F13FAA"/>
    <w:rsid w:val="00F1504D"/>
    <w:rsid w:val="00F175D3"/>
    <w:rsid w:val="00F2010B"/>
    <w:rsid w:val="00F310D7"/>
    <w:rsid w:val="00F4033B"/>
    <w:rsid w:val="00F423D7"/>
    <w:rsid w:val="00F449C7"/>
    <w:rsid w:val="00F502E5"/>
    <w:rsid w:val="00F5484F"/>
    <w:rsid w:val="00F66D52"/>
    <w:rsid w:val="00F7063E"/>
    <w:rsid w:val="00F85E80"/>
    <w:rsid w:val="00F92932"/>
    <w:rsid w:val="00F92E8D"/>
    <w:rsid w:val="00F9375F"/>
    <w:rsid w:val="00F939AC"/>
    <w:rsid w:val="00F94478"/>
    <w:rsid w:val="00F95AFC"/>
    <w:rsid w:val="00F97804"/>
    <w:rsid w:val="00FA4FF7"/>
    <w:rsid w:val="00FB3F64"/>
    <w:rsid w:val="00FB4268"/>
    <w:rsid w:val="00FC0FE7"/>
    <w:rsid w:val="00FC3C9F"/>
    <w:rsid w:val="00FC50EE"/>
    <w:rsid w:val="00FD2777"/>
    <w:rsid w:val="00FD3900"/>
    <w:rsid w:val="00FD3CC9"/>
    <w:rsid w:val="00FD6812"/>
    <w:rsid w:val="00FD71E3"/>
    <w:rsid w:val="00FE1180"/>
    <w:rsid w:val="00FE765A"/>
    <w:rsid w:val="00FE7E23"/>
    <w:rsid w:val="00FF1974"/>
    <w:rsid w:val="00FF1BE8"/>
    <w:rsid w:val="00FF1C5C"/>
    <w:rsid w:val="00FF24B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05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2DA"/>
    <w:rPr>
      <w:i/>
      <w:iCs/>
      <w:sz w:val="20"/>
      <w:szCs w:val="20"/>
    </w:rPr>
  </w:style>
  <w:style w:type="paragraph" w:styleId="Heading1">
    <w:name w:val="heading 1"/>
    <w:basedOn w:val="Normal"/>
    <w:next w:val="Normal"/>
    <w:link w:val="Heading1Char"/>
    <w:uiPriority w:val="9"/>
    <w:qFormat/>
    <w:rsid w:val="005C2E03"/>
    <w:pPr>
      <w:pBdr>
        <w:top w:val="single" w:sz="8" w:space="0" w:color="002060"/>
        <w:left w:val="single" w:sz="8" w:space="0" w:color="002060"/>
        <w:bottom w:val="single" w:sz="8" w:space="0" w:color="002060"/>
        <w:right w:val="single" w:sz="8" w:space="0" w:color="002060"/>
      </w:pBdr>
      <w:shd w:val="clear" w:color="auto" w:fill="002060"/>
      <w:spacing w:before="480" w:after="100" w:line="269" w:lineRule="auto"/>
      <w:contextualSpacing/>
      <w:outlineLvl w:val="0"/>
    </w:pPr>
    <w:rPr>
      <w:rFonts w:asciiTheme="majorHAnsi" w:eastAsiaTheme="majorEastAsia" w:hAnsiTheme="majorHAnsi" w:cstheme="majorBidi"/>
      <w:b/>
      <w:bCs/>
      <w:color w:val="FFFFFF" w:themeColor="background1"/>
      <w:sz w:val="22"/>
      <w:szCs w:val="22"/>
    </w:rPr>
  </w:style>
  <w:style w:type="paragraph" w:styleId="Heading2">
    <w:name w:val="heading 2"/>
    <w:basedOn w:val="Normal"/>
    <w:next w:val="Normal"/>
    <w:link w:val="Heading2Char"/>
    <w:uiPriority w:val="9"/>
    <w:semiHidden/>
    <w:unhideWhenUsed/>
    <w:qFormat/>
    <w:rsid w:val="004642DA"/>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Heading3">
    <w:name w:val="heading 3"/>
    <w:basedOn w:val="Normal"/>
    <w:next w:val="Normal"/>
    <w:link w:val="Heading3Char"/>
    <w:uiPriority w:val="9"/>
    <w:semiHidden/>
    <w:unhideWhenUsed/>
    <w:qFormat/>
    <w:rsid w:val="004642DA"/>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Heading4">
    <w:name w:val="heading 4"/>
    <w:basedOn w:val="Normal"/>
    <w:next w:val="Normal"/>
    <w:link w:val="Heading4Char"/>
    <w:uiPriority w:val="9"/>
    <w:semiHidden/>
    <w:unhideWhenUsed/>
    <w:qFormat/>
    <w:rsid w:val="004642DA"/>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Heading5">
    <w:name w:val="heading 5"/>
    <w:basedOn w:val="Normal"/>
    <w:next w:val="Normal"/>
    <w:link w:val="Heading5Char"/>
    <w:uiPriority w:val="9"/>
    <w:semiHidden/>
    <w:unhideWhenUsed/>
    <w:qFormat/>
    <w:rsid w:val="004642DA"/>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Heading6">
    <w:name w:val="heading 6"/>
    <w:basedOn w:val="Normal"/>
    <w:next w:val="Normal"/>
    <w:link w:val="Heading6Char"/>
    <w:uiPriority w:val="9"/>
    <w:semiHidden/>
    <w:unhideWhenUsed/>
    <w:qFormat/>
    <w:rsid w:val="004642DA"/>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Heading7">
    <w:name w:val="heading 7"/>
    <w:basedOn w:val="Normal"/>
    <w:next w:val="Normal"/>
    <w:link w:val="Heading7Char"/>
    <w:uiPriority w:val="9"/>
    <w:semiHidden/>
    <w:unhideWhenUsed/>
    <w:qFormat/>
    <w:rsid w:val="004642DA"/>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Heading8">
    <w:name w:val="heading 8"/>
    <w:basedOn w:val="Normal"/>
    <w:next w:val="Normal"/>
    <w:link w:val="Heading8Char"/>
    <w:uiPriority w:val="9"/>
    <w:semiHidden/>
    <w:unhideWhenUsed/>
    <w:qFormat/>
    <w:rsid w:val="004642DA"/>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Heading9">
    <w:name w:val="heading 9"/>
    <w:basedOn w:val="Normal"/>
    <w:next w:val="Normal"/>
    <w:link w:val="Heading9Char"/>
    <w:uiPriority w:val="9"/>
    <w:semiHidden/>
    <w:unhideWhenUsed/>
    <w:qFormat/>
    <w:rsid w:val="004642DA"/>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642DA"/>
    <w:rPr>
      <w:rFonts w:asciiTheme="majorHAnsi" w:eastAsiaTheme="majorEastAsia" w:hAnsiTheme="majorHAnsi" w:cstheme="majorBidi"/>
      <w:b/>
      <w:bCs/>
      <w:i/>
      <w:iCs/>
      <w:color w:val="858585" w:themeColor="accent2" w:themeShade="BF"/>
    </w:rPr>
  </w:style>
  <w:style w:type="paragraph" w:styleId="ListParagraph">
    <w:name w:val="List Paragraph"/>
    <w:basedOn w:val="Normal"/>
    <w:uiPriority w:val="34"/>
    <w:qFormat/>
    <w:rsid w:val="004642DA"/>
    <w:pPr>
      <w:ind w:left="720"/>
      <w:contextualSpacing/>
    </w:pPr>
  </w:style>
  <w:style w:type="table" w:styleId="TableGrid">
    <w:name w:val="Table Grid"/>
    <w:basedOn w:val="TableNormal"/>
    <w:uiPriority w:val="1"/>
    <w:rsid w:val="0053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4642DA"/>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
    <w:rsid w:val="004642DA"/>
    <w:rPr>
      <w:rFonts w:asciiTheme="majorHAnsi" w:eastAsiaTheme="majorEastAsia" w:hAnsiTheme="majorHAnsi" w:cstheme="majorBidi"/>
      <w:i/>
      <w:iCs/>
      <w:color w:val="FFFFFF" w:themeColor="background1"/>
      <w:spacing w:val="10"/>
      <w:sz w:val="48"/>
      <w:szCs w:val="48"/>
      <w:shd w:val="clear" w:color="auto" w:fill="B2B2B2" w:themeFill="accent2"/>
    </w:rPr>
  </w:style>
  <w:style w:type="character" w:customStyle="1" w:styleId="Heading1Char">
    <w:name w:val="Heading 1 Char"/>
    <w:basedOn w:val="DefaultParagraphFont"/>
    <w:link w:val="Heading1"/>
    <w:uiPriority w:val="9"/>
    <w:rsid w:val="004642DA"/>
    <w:rPr>
      <w:rFonts w:asciiTheme="majorHAnsi" w:eastAsiaTheme="majorEastAsia" w:hAnsiTheme="majorHAnsi" w:cstheme="majorBidi"/>
      <w:b/>
      <w:bCs/>
      <w:i/>
      <w:iCs/>
      <w:color w:val="FFFFFF" w:themeColor="background1"/>
      <w:shd w:val="clear" w:color="auto" w:fill="002060"/>
    </w:rPr>
  </w:style>
  <w:style w:type="paragraph" w:customStyle="1" w:styleId="small">
    <w:name w:val="small"/>
    <w:next w:val="Normal"/>
    <w:semiHidden/>
    <w:rsid w:val="00664788"/>
    <w:pPr>
      <w:spacing w:after="0" w:line="360" w:lineRule="auto"/>
      <w:ind w:left="360"/>
    </w:pPr>
    <w:rPr>
      <w:color w:val="000000" w:themeColor="text1"/>
      <w:sz w:val="20"/>
      <w:lang w:val="en-US"/>
    </w:rPr>
  </w:style>
  <w:style w:type="paragraph" w:customStyle="1" w:styleId="table">
    <w:name w:val="table"/>
    <w:basedOn w:val="Normal"/>
    <w:qFormat/>
    <w:rsid w:val="00664788"/>
    <w:pPr>
      <w:spacing w:line="240" w:lineRule="auto"/>
    </w:pPr>
  </w:style>
  <w:style w:type="paragraph" w:customStyle="1" w:styleId="largetext">
    <w:name w:val="large text"/>
    <w:basedOn w:val="Normal"/>
    <w:qFormat/>
    <w:rsid w:val="00664788"/>
    <w:pPr>
      <w:spacing w:before="40" w:after="40" w:line="240" w:lineRule="auto"/>
    </w:pPr>
    <w:rPr>
      <w:rFonts w:ascii="Impact" w:hAnsi="Impact"/>
      <w:color w:val="000000" w:themeColor="text2"/>
      <w:sz w:val="28"/>
    </w:rPr>
  </w:style>
  <w:style w:type="paragraph" w:customStyle="1" w:styleId="tableheaddark">
    <w:name w:val="table head dark"/>
    <w:basedOn w:val="Normal"/>
    <w:rsid w:val="00664788"/>
    <w:pPr>
      <w:spacing w:before="40" w:after="40" w:line="240" w:lineRule="auto"/>
    </w:pPr>
    <w:rPr>
      <w:rFonts w:ascii="Impact" w:hAnsi="Impact"/>
      <w:color w:val="FFFFFF" w:themeColor="background1"/>
      <w:sz w:val="32"/>
    </w:rPr>
  </w:style>
  <w:style w:type="paragraph" w:customStyle="1" w:styleId="tableheadwhite">
    <w:name w:val="table head white"/>
    <w:basedOn w:val="Normal"/>
    <w:qFormat/>
    <w:rsid w:val="00664788"/>
    <w:pPr>
      <w:spacing w:before="40" w:after="40" w:line="240" w:lineRule="auto"/>
    </w:pPr>
    <w:rPr>
      <w:rFonts w:ascii="Impact" w:hAnsi="Impact"/>
      <w:color w:val="FFFFFF" w:themeColor="background1"/>
      <w:sz w:val="32"/>
    </w:rPr>
  </w:style>
  <w:style w:type="paragraph" w:customStyle="1" w:styleId="numberedtextlight">
    <w:name w:val="numbered text light"/>
    <w:basedOn w:val="ListParagraph"/>
    <w:qFormat/>
    <w:rsid w:val="00C73E4B"/>
    <w:pPr>
      <w:numPr>
        <w:numId w:val="1"/>
      </w:numPr>
      <w:spacing w:before="40" w:after="40" w:line="240" w:lineRule="auto"/>
      <w:ind w:left="280" w:hanging="270"/>
    </w:pPr>
    <w:rPr>
      <w:rFonts w:asciiTheme="majorHAnsi" w:hAnsiTheme="majorHAnsi"/>
      <w:color w:val="FFFFFF" w:themeColor="background1"/>
    </w:rPr>
  </w:style>
  <w:style w:type="paragraph" w:customStyle="1" w:styleId="Titlebartext">
    <w:name w:val="Title bar text"/>
    <w:basedOn w:val="Normal"/>
    <w:link w:val="TitlebartextChar"/>
    <w:rsid w:val="00664788"/>
    <w:rPr>
      <w:color w:val="FFFFFF" w:themeColor="background1"/>
      <w:sz w:val="23"/>
    </w:rPr>
  </w:style>
  <w:style w:type="character" w:customStyle="1" w:styleId="TitlebartextChar">
    <w:name w:val="Title bar text Char"/>
    <w:basedOn w:val="DefaultParagraphFont"/>
    <w:link w:val="Titlebartext"/>
    <w:rsid w:val="00664788"/>
    <w:rPr>
      <w:color w:val="FFFFFF" w:themeColor="background1"/>
      <w:sz w:val="23"/>
      <w:lang w:val="en-US"/>
    </w:rPr>
  </w:style>
  <w:style w:type="paragraph" w:styleId="Header">
    <w:name w:val="header"/>
    <w:basedOn w:val="Normal"/>
    <w:link w:val="HeaderChar"/>
    <w:uiPriority w:val="99"/>
    <w:semiHidden/>
    <w:rsid w:val="00C911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4788"/>
    <w:rPr>
      <w:color w:val="000000" w:themeColor="text1"/>
      <w:sz w:val="20"/>
      <w:lang w:val="en-US"/>
    </w:rPr>
  </w:style>
  <w:style w:type="paragraph" w:styleId="Footer">
    <w:name w:val="footer"/>
    <w:basedOn w:val="Normal"/>
    <w:link w:val="FooterChar"/>
    <w:uiPriority w:val="99"/>
    <w:semiHidden/>
    <w:rsid w:val="00C911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4788"/>
    <w:rPr>
      <w:color w:val="000000" w:themeColor="text1"/>
      <w:sz w:val="20"/>
      <w:lang w:val="en-US"/>
    </w:rPr>
  </w:style>
  <w:style w:type="character" w:styleId="PlaceholderText">
    <w:name w:val="Placeholder Text"/>
    <w:basedOn w:val="DefaultParagraphFont"/>
    <w:uiPriority w:val="99"/>
    <w:semiHidden/>
    <w:rsid w:val="00664788"/>
    <w:rPr>
      <w:color w:val="808080"/>
    </w:rPr>
  </w:style>
  <w:style w:type="character" w:customStyle="1" w:styleId="Heading3Char">
    <w:name w:val="Heading 3 Char"/>
    <w:basedOn w:val="DefaultParagraphFont"/>
    <w:link w:val="Heading3"/>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4Char">
    <w:name w:val="Heading 4 Char"/>
    <w:basedOn w:val="DefaultParagraphFont"/>
    <w:link w:val="Heading4"/>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4642DA"/>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4642DA"/>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4642DA"/>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4642DA"/>
    <w:rPr>
      <w:rFonts w:asciiTheme="majorHAnsi" w:eastAsiaTheme="majorEastAsia" w:hAnsiTheme="majorHAnsi" w:cstheme="majorBidi"/>
      <w:i/>
      <w:iCs/>
      <w:color w:val="B2B2B2" w:themeColor="accent2"/>
      <w:sz w:val="20"/>
      <w:szCs w:val="20"/>
    </w:rPr>
  </w:style>
  <w:style w:type="paragraph" w:styleId="Caption">
    <w:name w:val="caption"/>
    <w:basedOn w:val="Normal"/>
    <w:next w:val="Normal"/>
    <w:uiPriority w:val="35"/>
    <w:semiHidden/>
    <w:unhideWhenUsed/>
    <w:qFormat/>
    <w:rsid w:val="004642DA"/>
    <w:rPr>
      <w:b/>
      <w:bCs/>
      <w:color w:val="858585" w:themeColor="accent2" w:themeShade="BF"/>
      <w:sz w:val="18"/>
      <w:szCs w:val="18"/>
    </w:rPr>
  </w:style>
  <w:style w:type="paragraph" w:styleId="Subtitle">
    <w:name w:val="Subtitle"/>
    <w:basedOn w:val="Normal"/>
    <w:next w:val="Normal"/>
    <w:link w:val="SubtitleChar"/>
    <w:uiPriority w:val="11"/>
    <w:qFormat/>
    <w:rsid w:val="004642DA"/>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4642DA"/>
    <w:rPr>
      <w:rFonts w:asciiTheme="majorHAnsi" w:eastAsiaTheme="majorEastAsia" w:hAnsiTheme="majorHAnsi" w:cstheme="majorBidi"/>
      <w:i/>
      <w:iCs/>
      <w:color w:val="585858" w:themeColor="accent2" w:themeShade="7F"/>
      <w:sz w:val="24"/>
      <w:szCs w:val="24"/>
    </w:rPr>
  </w:style>
  <w:style w:type="character" w:styleId="Strong">
    <w:name w:val="Strong"/>
    <w:uiPriority w:val="22"/>
    <w:qFormat/>
    <w:rsid w:val="004642DA"/>
    <w:rPr>
      <w:b/>
      <w:bCs/>
      <w:spacing w:val="0"/>
    </w:rPr>
  </w:style>
  <w:style w:type="character" w:styleId="Emphasis">
    <w:name w:val="Emphasis"/>
    <w:uiPriority w:val="20"/>
    <w:qFormat/>
    <w:rsid w:val="004642DA"/>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uiPriority w:val="1"/>
    <w:qFormat/>
    <w:rsid w:val="004642DA"/>
    <w:pPr>
      <w:spacing w:after="0" w:line="240" w:lineRule="auto"/>
    </w:pPr>
  </w:style>
  <w:style w:type="paragraph" w:styleId="Quote">
    <w:name w:val="Quote"/>
    <w:basedOn w:val="Normal"/>
    <w:next w:val="Normal"/>
    <w:link w:val="QuoteChar"/>
    <w:uiPriority w:val="29"/>
    <w:qFormat/>
    <w:rsid w:val="004642DA"/>
    <w:rPr>
      <w:i w:val="0"/>
      <w:iCs w:val="0"/>
      <w:color w:val="858585" w:themeColor="accent2" w:themeShade="BF"/>
    </w:rPr>
  </w:style>
  <w:style w:type="character" w:customStyle="1" w:styleId="QuoteChar">
    <w:name w:val="Quote Char"/>
    <w:basedOn w:val="DefaultParagraphFont"/>
    <w:link w:val="Quote"/>
    <w:uiPriority w:val="29"/>
    <w:rsid w:val="004642DA"/>
    <w:rPr>
      <w:color w:val="858585" w:themeColor="accent2" w:themeShade="BF"/>
      <w:sz w:val="20"/>
      <w:szCs w:val="20"/>
    </w:rPr>
  </w:style>
  <w:style w:type="paragraph" w:styleId="IntenseQuote">
    <w:name w:val="Intense Quote"/>
    <w:basedOn w:val="Normal"/>
    <w:next w:val="Normal"/>
    <w:link w:val="IntenseQuoteChar"/>
    <w:uiPriority w:val="30"/>
    <w:qFormat/>
    <w:rsid w:val="004642DA"/>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4642DA"/>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4642DA"/>
    <w:rPr>
      <w:rFonts w:asciiTheme="majorHAnsi" w:eastAsiaTheme="majorEastAsia" w:hAnsiTheme="majorHAnsi" w:cstheme="majorBidi"/>
      <w:i/>
      <w:iCs/>
      <w:color w:val="B2B2B2" w:themeColor="accent2"/>
    </w:rPr>
  </w:style>
  <w:style w:type="character" w:styleId="IntenseEmphasis">
    <w:name w:val="Intense Emphasis"/>
    <w:uiPriority w:val="21"/>
    <w:qFormat/>
    <w:rsid w:val="004642DA"/>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4642DA"/>
    <w:rPr>
      <w:i/>
      <w:iCs/>
      <w:smallCaps/>
      <w:color w:val="B2B2B2" w:themeColor="accent2"/>
      <w:u w:color="B2B2B2" w:themeColor="accent2"/>
    </w:rPr>
  </w:style>
  <w:style w:type="character" w:styleId="IntenseReference">
    <w:name w:val="Intense Reference"/>
    <w:uiPriority w:val="32"/>
    <w:qFormat/>
    <w:rsid w:val="004642DA"/>
    <w:rPr>
      <w:b/>
      <w:bCs/>
      <w:i/>
      <w:iCs/>
      <w:smallCaps/>
      <w:color w:val="B2B2B2" w:themeColor="accent2"/>
      <w:u w:color="B2B2B2" w:themeColor="accent2"/>
    </w:rPr>
  </w:style>
  <w:style w:type="character" w:styleId="BookTitle">
    <w:name w:val="Book Title"/>
    <w:uiPriority w:val="33"/>
    <w:qFormat/>
    <w:rsid w:val="004642DA"/>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semiHidden/>
    <w:unhideWhenUsed/>
    <w:qFormat/>
    <w:rsid w:val="004642DA"/>
    <w:pPr>
      <w:outlineLvl w:val="9"/>
    </w:pPr>
  </w:style>
  <w:style w:type="paragraph" w:styleId="BalloonText">
    <w:name w:val="Balloon Text"/>
    <w:basedOn w:val="Normal"/>
    <w:link w:val="BalloonTextChar"/>
    <w:uiPriority w:val="99"/>
    <w:semiHidden/>
    <w:unhideWhenUsed/>
    <w:rsid w:val="00FD71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71E3"/>
    <w:rPr>
      <w:rFonts w:ascii="Times New Roman" w:hAnsi="Times New Roman" w:cs="Times New Roman"/>
      <w:i/>
      <w:iCs/>
      <w:sz w:val="18"/>
      <w:szCs w:val="18"/>
    </w:rPr>
  </w:style>
  <w:style w:type="character" w:styleId="CommentReference">
    <w:name w:val="annotation reference"/>
    <w:basedOn w:val="DefaultParagraphFont"/>
    <w:uiPriority w:val="99"/>
    <w:semiHidden/>
    <w:unhideWhenUsed/>
    <w:rsid w:val="00FD71E3"/>
    <w:rPr>
      <w:sz w:val="16"/>
      <w:szCs w:val="16"/>
    </w:rPr>
  </w:style>
  <w:style w:type="paragraph" w:styleId="CommentText">
    <w:name w:val="annotation text"/>
    <w:basedOn w:val="Normal"/>
    <w:link w:val="CommentTextChar"/>
    <w:uiPriority w:val="99"/>
    <w:semiHidden/>
    <w:unhideWhenUsed/>
    <w:rsid w:val="00FD71E3"/>
    <w:pPr>
      <w:spacing w:line="240" w:lineRule="auto"/>
    </w:pPr>
  </w:style>
  <w:style w:type="character" w:customStyle="1" w:styleId="CommentTextChar">
    <w:name w:val="Comment Text Char"/>
    <w:basedOn w:val="DefaultParagraphFont"/>
    <w:link w:val="CommentText"/>
    <w:uiPriority w:val="99"/>
    <w:semiHidden/>
    <w:rsid w:val="00FD71E3"/>
    <w:rPr>
      <w:i/>
      <w:iCs/>
      <w:sz w:val="20"/>
      <w:szCs w:val="20"/>
    </w:rPr>
  </w:style>
  <w:style w:type="paragraph" w:styleId="CommentSubject">
    <w:name w:val="annotation subject"/>
    <w:basedOn w:val="CommentText"/>
    <w:next w:val="CommentText"/>
    <w:link w:val="CommentSubjectChar"/>
    <w:uiPriority w:val="99"/>
    <w:semiHidden/>
    <w:unhideWhenUsed/>
    <w:rsid w:val="00FD71E3"/>
    <w:rPr>
      <w:b/>
      <w:bCs/>
    </w:rPr>
  </w:style>
  <w:style w:type="character" w:customStyle="1" w:styleId="CommentSubjectChar">
    <w:name w:val="Comment Subject Char"/>
    <w:basedOn w:val="CommentTextChar"/>
    <w:link w:val="CommentSubject"/>
    <w:uiPriority w:val="99"/>
    <w:semiHidden/>
    <w:rsid w:val="00FD71E3"/>
    <w:rPr>
      <w:b/>
      <w:bCs/>
      <w:i/>
      <w:iCs/>
      <w:sz w:val="20"/>
      <w:szCs w:val="20"/>
    </w:rPr>
  </w:style>
  <w:style w:type="character" w:styleId="Hyperlink">
    <w:name w:val="Hyperlink"/>
    <w:basedOn w:val="DefaultParagraphFont"/>
    <w:uiPriority w:val="99"/>
    <w:unhideWhenUsed/>
    <w:rsid w:val="004D1E21"/>
    <w:rPr>
      <w:color w:val="5F5F5F" w:themeColor="hyperlink"/>
      <w:u w:val="single"/>
    </w:rPr>
  </w:style>
  <w:style w:type="character" w:customStyle="1" w:styleId="apple-converted-space">
    <w:name w:val="apple-converted-space"/>
    <w:basedOn w:val="DefaultParagraphFont"/>
    <w:rsid w:val="00EE65B8"/>
  </w:style>
  <w:style w:type="table" w:styleId="TableGridLight">
    <w:name w:val="Grid Table Light"/>
    <w:basedOn w:val="TableNormal"/>
    <w:uiPriority w:val="40"/>
    <w:rsid w:val="00FB3F64"/>
    <w:pPr>
      <w:spacing w:after="0" w:line="240" w:lineRule="auto"/>
    </w:pPr>
    <w:rPr>
      <w:sz w:val="18"/>
      <w:szCs w:val="18"/>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Page">
    <w:name w:val="Cover Page"/>
    <w:basedOn w:val="Heading3"/>
    <w:qFormat/>
    <w:rsid w:val="008843FE"/>
    <w:pPr>
      <w:pBdr>
        <w:top w:val="single" w:sz="6" w:space="2" w:color="DDDDDD" w:themeColor="accent1"/>
        <w:left w:val="single" w:sz="6" w:space="2" w:color="DDDDDD" w:themeColor="accent1"/>
        <w:bottom w:val="none" w:sz="0" w:space="0" w:color="auto"/>
      </w:pBdr>
      <w:snapToGrid w:val="0"/>
      <w:spacing w:beforeLines="40" w:before="300" w:afterLines="40" w:after="0"/>
      <w:ind w:left="902" w:right="158"/>
    </w:pPr>
    <w:rPr>
      <w:rFonts w:asciiTheme="minorHAnsi" w:eastAsia="Calibri Light" w:hAnsiTheme="minorHAnsi" w:cstheme="minorHAnsi"/>
      <w:bCs w:val="0"/>
      <w:i w:val="0"/>
      <w:iCs w:val="0"/>
      <w:caps/>
      <w:color w:val="000000" w:themeColor="text1"/>
      <w:spacing w:val="15"/>
      <w:sz w:val="20"/>
      <w:szCs w:val="21"/>
      <w:lang w:val="en-US"/>
    </w:rPr>
  </w:style>
  <w:style w:type="paragraph" w:customStyle="1" w:styleId="BrochureTitle">
    <w:name w:val="Brochure Title"/>
    <w:basedOn w:val="Normal"/>
    <w:autoRedefine/>
    <w:qFormat/>
    <w:rsid w:val="008843FE"/>
    <w:pPr>
      <w:snapToGrid w:val="0"/>
      <w:spacing w:before="40" w:after="80" w:line="240" w:lineRule="auto"/>
      <w:ind w:right="158"/>
    </w:pPr>
    <w:rPr>
      <w:rFonts w:eastAsia="Calibri Light" w:cstheme="minorHAnsi"/>
      <w:b/>
      <w:bCs/>
      <w:i w:val="0"/>
      <w:iCs w:val="0"/>
      <w:caps/>
      <w:color w:val="C00000"/>
      <w:spacing w:val="10"/>
      <w:sz w:val="36"/>
      <w:szCs w:val="36"/>
      <w:lang w:val="en-US"/>
    </w:rPr>
  </w:style>
  <w:style w:type="paragraph" w:customStyle="1" w:styleId="AdditonalADVBox">
    <w:name w:val="Additonal ADV Box"/>
    <w:basedOn w:val="Normal"/>
    <w:qFormat/>
    <w:rsid w:val="008843FE"/>
    <w:pPr>
      <w:numPr>
        <w:numId w:val="2"/>
      </w:numPr>
      <w:pBdr>
        <w:top w:val="nil"/>
        <w:left w:val="nil"/>
        <w:bottom w:val="nil"/>
        <w:right w:val="nil"/>
        <w:between w:val="nil"/>
        <w:bar w:val="nil"/>
      </w:pBdr>
      <w:spacing w:after="0" w:line="240" w:lineRule="auto"/>
      <w:jc w:val="both"/>
    </w:pPr>
    <w:rPr>
      <w:rFonts w:ascii="Calibri Light" w:eastAsia="Calibri" w:hAnsi="Calibri Light" w:cs="Calibri Light"/>
      <w:i w:val="0"/>
      <w:iCs w:val="0"/>
      <w:color w:val="000000" w:themeColor="text1"/>
      <w:kern w:val="20"/>
      <w:szCs w:val="21"/>
      <w:u w:color="000000"/>
      <w:bdr w:val="nil"/>
      <w:lang w:val="en-US" w:eastAsia="zh-CN" w:bidi="hi-IN"/>
    </w:rPr>
  </w:style>
  <w:style w:type="paragraph" w:customStyle="1" w:styleId="CRPNumberedParagraph">
    <w:name w:val="CRP Numbered Paragraph"/>
    <w:basedOn w:val="ListParagraph"/>
    <w:qFormat/>
    <w:rsid w:val="008843FE"/>
    <w:pPr>
      <w:spacing w:after="240" w:line="240" w:lineRule="auto"/>
      <w:jc w:val="both"/>
    </w:pPr>
    <w:rPr>
      <w:rFonts w:ascii="Adobe Garamond Pro" w:eastAsia="Batang" w:hAnsi="Adobe Garamond Pro" w:cs="Calibri"/>
      <w:i w:val="0"/>
      <w:iCs w:val="0"/>
      <w:color w:val="000000" w:themeColor="text1"/>
      <w:sz w:val="22"/>
      <w:szCs w:val="22"/>
      <w:lang w:val="en-US"/>
    </w:rPr>
  </w:style>
  <w:style w:type="paragraph" w:styleId="Revision">
    <w:name w:val="Revision"/>
    <w:hidden/>
    <w:uiPriority w:val="99"/>
    <w:semiHidden/>
    <w:rsid w:val="005B4311"/>
    <w:pPr>
      <w:spacing w:after="0" w:line="240" w:lineRule="auto"/>
    </w:pPr>
    <w:rPr>
      <w:i/>
      <w:iCs/>
      <w:sz w:val="20"/>
      <w:szCs w:val="20"/>
    </w:rPr>
  </w:style>
  <w:style w:type="paragraph" w:styleId="NormalWeb">
    <w:name w:val="Normal (Web)"/>
    <w:basedOn w:val="Normal"/>
    <w:uiPriority w:val="99"/>
    <w:unhideWhenUsed/>
    <w:rsid w:val="001D214A"/>
    <w:pPr>
      <w:spacing w:before="100" w:beforeAutospacing="1" w:after="100" w:afterAutospacing="1" w:line="240" w:lineRule="auto"/>
    </w:pPr>
    <w:rPr>
      <w:rFonts w:ascii="Times New Roman" w:eastAsia="Times New Roman" w:hAnsi="Times New Roman" w:cs="Times New Roman"/>
      <w:i w:val="0"/>
      <w:iCs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4301">
      <w:bodyDiv w:val="1"/>
      <w:marLeft w:val="0"/>
      <w:marRight w:val="0"/>
      <w:marTop w:val="0"/>
      <w:marBottom w:val="0"/>
      <w:divBdr>
        <w:top w:val="none" w:sz="0" w:space="0" w:color="auto"/>
        <w:left w:val="none" w:sz="0" w:space="0" w:color="auto"/>
        <w:bottom w:val="none" w:sz="0" w:space="0" w:color="auto"/>
        <w:right w:val="none" w:sz="0" w:space="0" w:color="auto"/>
      </w:divBdr>
    </w:div>
    <w:div w:id="469135560">
      <w:bodyDiv w:val="1"/>
      <w:marLeft w:val="0"/>
      <w:marRight w:val="0"/>
      <w:marTop w:val="0"/>
      <w:marBottom w:val="0"/>
      <w:divBdr>
        <w:top w:val="none" w:sz="0" w:space="0" w:color="auto"/>
        <w:left w:val="none" w:sz="0" w:space="0" w:color="auto"/>
        <w:bottom w:val="none" w:sz="0" w:space="0" w:color="auto"/>
        <w:right w:val="none" w:sz="0" w:space="0" w:color="auto"/>
      </w:divBdr>
    </w:div>
    <w:div w:id="489559363">
      <w:bodyDiv w:val="1"/>
      <w:marLeft w:val="0"/>
      <w:marRight w:val="0"/>
      <w:marTop w:val="0"/>
      <w:marBottom w:val="0"/>
      <w:divBdr>
        <w:top w:val="none" w:sz="0" w:space="0" w:color="auto"/>
        <w:left w:val="none" w:sz="0" w:space="0" w:color="auto"/>
        <w:bottom w:val="none" w:sz="0" w:space="0" w:color="auto"/>
        <w:right w:val="none" w:sz="0" w:space="0" w:color="auto"/>
      </w:divBdr>
    </w:div>
    <w:div w:id="925067608">
      <w:bodyDiv w:val="1"/>
      <w:marLeft w:val="0"/>
      <w:marRight w:val="0"/>
      <w:marTop w:val="0"/>
      <w:marBottom w:val="0"/>
      <w:divBdr>
        <w:top w:val="none" w:sz="0" w:space="0" w:color="auto"/>
        <w:left w:val="none" w:sz="0" w:space="0" w:color="auto"/>
        <w:bottom w:val="none" w:sz="0" w:space="0" w:color="auto"/>
        <w:right w:val="none" w:sz="0" w:space="0" w:color="auto"/>
      </w:divBdr>
    </w:div>
    <w:div w:id="1006709173">
      <w:bodyDiv w:val="1"/>
      <w:marLeft w:val="0"/>
      <w:marRight w:val="0"/>
      <w:marTop w:val="0"/>
      <w:marBottom w:val="0"/>
      <w:divBdr>
        <w:top w:val="none" w:sz="0" w:space="0" w:color="auto"/>
        <w:left w:val="none" w:sz="0" w:space="0" w:color="auto"/>
        <w:bottom w:val="none" w:sz="0" w:space="0" w:color="auto"/>
        <w:right w:val="none" w:sz="0" w:space="0" w:color="auto"/>
      </w:divBdr>
    </w:div>
    <w:div w:id="1013605231">
      <w:bodyDiv w:val="1"/>
      <w:marLeft w:val="0"/>
      <w:marRight w:val="0"/>
      <w:marTop w:val="0"/>
      <w:marBottom w:val="0"/>
      <w:divBdr>
        <w:top w:val="none" w:sz="0" w:space="0" w:color="auto"/>
        <w:left w:val="none" w:sz="0" w:space="0" w:color="auto"/>
        <w:bottom w:val="none" w:sz="0" w:space="0" w:color="auto"/>
        <w:right w:val="none" w:sz="0" w:space="0" w:color="auto"/>
      </w:divBdr>
    </w:div>
    <w:div w:id="1190724123">
      <w:bodyDiv w:val="1"/>
      <w:marLeft w:val="0"/>
      <w:marRight w:val="0"/>
      <w:marTop w:val="0"/>
      <w:marBottom w:val="0"/>
      <w:divBdr>
        <w:top w:val="none" w:sz="0" w:space="0" w:color="auto"/>
        <w:left w:val="none" w:sz="0" w:space="0" w:color="auto"/>
        <w:bottom w:val="none" w:sz="0" w:space="0" w:color="auto"/>
        <w:right w:val="none" w:sz="0" w:space="0" w:color="auto"/>
      </w:divBdr>
    </w:div>
    <w:div w:id="1285847945">
      <w:bodyDiv w:val="1"/>
      <w:marLeft w:val="0"/>
      <w:marRight w:val="0"/>
      <w:marTop w:val="0"/>
      <w:marBottom w:val="0"/>
      <w:divBdr>
        <w:top w:val="none" w:sz="0" w:space="0" w:color="auto"/>
        <w:left w:val="none" w:sz="0" w:space="0" w:color="auto"/>
        <w:bottom w:val="none" w:sz="0" w:space="0" w:color="auto"/>
        <w:right w:val="none" w:sz="0" w:space="0" w:color="auto"/>
      </w:divBdr>
      <w:divsChild>
        <w:div w:id="281621653">
          <w:marLeft w:val="0"/>
          <w:marRight w:val="0"/>
          <w:marTop w:val="0"/>
          <w:marBottom w:val="960"/>
          <w:divBdr>
            <w:top w:val="none" w:sz="0" w:space="0" w:color="auto"/>
            <w:left w:val="none" w:sz="0" w:space="0" w:color="auto"/>
            <w:bottom w:val="none" w:sz="0" w:space="0" w:color="auto"/>
            <w:right w:val="none" w:sz="0" w:space="0" w:color="auto"/>
          </w:divBdr>
          <w:divsChild>
            <w:div w:id="2015379464">
              <w:marLeft w:val="0"/>
              <w:marRight w:val="0"/>
              <w:marTop w:val="0"/>
              <w:marBottom w:val="0"/>
              <w:divBdr>
                <w:top w:val="none" w:sz="0" w:space="0" w:color="auto"/>
                <w:left w:val="none" w:sz="0" w:space="0" w:color="auto"/>
                <w:bottom w:val="none" w:sz="0" w:space="0" w:color="auto"/>
                <w:right w:val="none" w:sz="0" w:space="0" w:color="auto"/>
              </w:divBdr>
              <w:divsChild>
                <w:div w:id="1483497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45962543">
          <w:marLeft w:val="0"/>
          <w:marRight w:val="0"/>
          <w:marTop w:val="0"/>
          <w:marBottom w:val="0"/>
          <w:divBdr>
            <w:top w:val="none" w:sz="0" w:space="0" w:color="auto"/>
            <w:left w:val="none" w:sz="0" w:space="0" w:color="auto"/>
            <w:bottom w:val="none" w:sz="0" w:space="0" w:color="auto"/>
            <w:right w:val="none" w:sz="0" w:space="0" w:color="auto"/>
          </w:divBdr>
          <w:divsChild>
            <w:div w:id="2012296641">
              <w:marLeft w:val="0"/>
              <w:marRight w:val="0"/>
              <w:marTop w:val="0"/>
              <w:marBottom w:val="0"/>
              <w:divBdr>
                <w:top w:val="none" w:sz="0" w:space="0" w:color="auto"/>
                <w:left w:val="none" w:sz="0" w:space="0" w:color="auto"/>
                <w:bottom w:val="none" w:sz="0" w:space="0" w:color="auto"/>
                <w:right w:val="none" w:sz="0" w:space="0" w:color="auto"/>
              </w:divBdr>
              <w:divsChild>
                <w:div w:id="210607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91320911">
          <w:marLeft w:val="0"/>
          <w:marRight w:val="0"/>
          <w:marTop w:val="0"/>
          <w:marBottom w:val="0"/>
          <w:divBdr>
            <w:top w:val="none" w:sz="0" w:space="0" w:color="auto"/>
            <w:left w:val="none" w:sz="0" w:space="0" w:color="auto"/>
            <w:bottom w:val="none" w:sz="0" w:space="0" w:color="auto"/>
            <w:right w:val="none" w:sz="0" w:space="0" w:color="auto"/>
          </w:divBdr>
          <w:divsChild>
            <w:div w:id="499005019">
              <w:marLeft w:val="0"/>
              <w:marRight w:val="0"/>
              <w:marTop w:val="0"/>
              <w:marBottom w:val="0"/>
              <w:divBdr>
                <w:top w:val="none" w:sz="0" w:space="0" w:color="auto"/>
                <w:left w:val="none" w:sz="0" w:space="0" w:color="auto"/>
                <w:bottom w:val="none" w:sz="0" w:space="0" w:color="auto"/>
                <w:right w:val="none" w:sz="0" w:space="0" w:color="auto"/>
              </w:divBdr>
              <w:divsChild>
                <w:div w:id="1709988160">
                  <w:marLeft w:val="0"/>
                  <w:marRight w:val="0"/>
                  <w:marTop w:val="0"/>
                  <w:marBottom w:val="0"/>
                  <w:divBdr>
                    <w:top w:val="none" w:sz="0" w:space="0" w:color="auto"/>
                    <w:left w:val="none" w:sz="0" w:space="0" w:color="auto"/>
                    <w:bottom w:val="none" w:sz="0" w:space="0" w:color="auto"/>
                    <w:right w:val="none" w:sz="0" w:space="0" w:color="auto"/>
                  </w:divBdr>
                  <w:divsChild>
                    <w:div w:id="2070881795">
                      <w:marLeft w:val="0"/>
                      <w:marRight w:val="0"/>
                      <w:marTop w:val="0"/>
                      <w:marBottom w:val="0"/>
                      <w:divBdr>
                        <w:top w:val="none" w:sz="0" w:space="0" w:color="auto"/>
                        <w:left w:val="none" w:sz="0" w:space="0" w:color="auto"/>
                        <w:bottom w:val="none" w:sz="0" w:space="0" w:color="auto"/>
                        <w:right w:val="none" w:sz="0" w:space="0" w:color="auto"/>
                      </w:divBdr>
                      <w:divsChild>
                        <w:div w:id="408767763">
                          <w:marLeft w:val="-225"/>
                          <w:marRight w:val="-225"/>
                          <w:marTop w:val="0"/>
                          <w:marBottom w:val="0"/>
                          <w:divBdr>
                            <w:top w:val="none" w:sz="0" w:space="0" w:color="auto"/>
                            <w:left w:val="none" w:sz="0" w:space="0" w:color="auto"/>
                            <w:bottom w:val="none" w:sz="0" w:space="0" w:color="auto"/>
                            <w:right w:val="none" w:sz="0" w:space="0" w:color="auto"/>
                          </w:divBdr>
                          <w:divsChild>
                            <w:div w:id="1054278783">
                              <w:marLeft w:val="0"/>
                              <w:marRight w:val="0"/>
                              <w:marTop w:val="0"/>
                              <w:marBottom w:val="0"/>
                              <w:divBdr>
                                <w:top w:val="none" w:sz="0" w:space="0" w:color="auto"/>
                                <w:left w:val="none" w:sz="0" w:space="0" w:color="auto"/>
                                <w:bottom w:val="none" w:sz="0" w:space="0" w:color="auto"/>
                                <w:right w:val="none" w:sz="0" w:space="0" w:color="auto"/>
                              </w:divBdr>
                              <w:divsChild>
                                <w:div w:id="1056591629">
                                  <w:marLeft w:val="0"/>
                                  <w:marRight w:val="0"/>
                                  <w:marTop w:val="0"/>
                                  <w:marBottom w:val="0"/>
                                  <w:divBdr>
                                    <w:top w:val="none" w:sz="0" w:space="0" w:color="auto"/>
                                    <w:left w:val="none" w:sz="0" w:space="0" w:color="auto"/>
                                    <w:bottom w:val="none" w:sz="0" w:space="0" w:color="auto"/>
                                    <w:right w:val="none" w:sz="0" w:space="0" w:color="auto"/>
                                  </w:divBdr>
                                  <w:divsChild>
                                    <w:div w:id="433521429">
                                      <w:marLeft w:val="0"/>
                                      <w:marRight w:val="0"/>
                                      <w:marTop w:val="0"/>
                                      <w:marBottom w:val="0"/>
                                      <w:divBdr>
                                        <w:top w:val="none" w:sz="0" w:space="0" w:color="auto"/>
                                        <w:left w:val="none" w:sz="0" w:space="0" w:color="auto"/>
                                        <w:bottom w:val="none" w:sz="0" w:space="0" w:color="auto"/>
                                        <w:right w:val="none" w:sz="0" w:space="0" w:color="auto"/>
                                      </w:divBdr>
                                      <w:divsChild>
                                        <w:div w:id="187065291">
                                          <w:marLeft w:val="0"/>
                                          <w:marRight w:val="0"/>
                                          <w:marTop w:val="0"/>
                                          <w:marBottom w:val="0"/>
                                          <w:divBdr>
                                            <w:top w:val="none" w:sz="0" w:space="0" w:color="auto"/>
                                            <w:left w:val="none" w:sz="0" w:space="0" w:color="auto"/>
                                            <w:bottom w:val="none" w:sz="0" w:space="0" w:color="auto"/>
                                            <w:right w:val="none" w:sz="0" w:space="0" w:color="auto"/>
                                          </w:divBdr>
                                          <w:divsChild>
                                            <w:div w:id="12057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178875">
          <w:marLeft w:val="0"/>
          <w:marRight w:val="0"/>
          <w:marTop w:val="0"/>
          <w:marBottom w:val="960"/>
          <w:divBdr>
            <w:top w:val="none" w:sz="0" w:space="0" w:color="auto"/>
            <w:left w:val="none" w:sz="0" w:space="0" w:color="auto"/>
            <w:bottom w:val="none" w:sz="0" w:space="0" w:color="auto"/>
            <w:right w:val="none" w:sz="0" w:space="0" w:color="auto"/>
          </w:divBdr>
          <w:divsChild>
            <w:div w:id="1149325090">
              <w:marLeft w:val="0"/>
              <w:marRight w:val="0"/>
              <w:marTop w:val="0"/>
              <w:marBottom w:val="0"/>
              <w:divBdr>
                <w:top w:val="none" w:sz="0" w:space="0" w:color="auto"/>
                <w:left w:val="none" w:sz="0" w:space="0" w:color="auto"/>
                <w:bottom w:val="none" w:sz="0" w:space="0" w:color="auto"/>
                <w:right w:val="none" w:sz="0" w:space="0" w:color="auto"/>
              </w:divBdr>
              <w:divsChild>
                <w:div w:id="47649361">
                  <w:marLeft w:val="0"/>
                  <w:marRight w:val="0"/>
                  <w:marTop w:val="0"/>
                  <w:marBottom w:val="0"/>
                  <w:divBdr>
                    <w:top w:val="none" w:sz="0" w:space="0" w:color="auto"/>
                    <w:left w:val="none" w:sz="0" w:space="0" w:color="auto"/>
                    <w:bottom w:val="none" w:sz="0" w:space="0" w:color="auto"/>
                    <w:right w:val="none" w:sz="0" w:space="0" w:color="auto"/>
                  </w:divBdr>
                  <w:divsChild>
                    <w:div w:id="1302080588">
                      <w:marLeft w:val="0"/>
                      <w:marRight w:val="0"/>
                      <w:marTop w:val="0"/>
                      <w:marBottom w:val="0"/>
                      <w:divBdr>
                        <w:top w:val="none" w:sz="0" w:space="0" w:color="auto"/>
                        <w:left w:val="none" w:sz="0" w:space="0" w:color="auto"/>
                        <w:bottom w:val="none" w:sz="0" w:space="0" w:color="auto"/>
                        <w:right w:val="none" w:sz="0" w:space="0" w:color="auto"/>
                      </w:divBdr>
                      <w:divsChild>
                        <w:div w:id="221604915">
                          <w:marLeft w:val="0"/>
                          <w:marRight w:val="0"/>
                          <w:marTop w:val="0"/>
                          <w:marBottom w:val="180"/>
                          <w:divBdr>
                            <w:top w:val="none" w:sz="0" w:space="0" w:color="auto"/>
                            <w:left w:val="none" w:sz="0" w:space="0" w:color="auto"/>
                            <w:bottom w:val="none" w:sz="0" w:space="0" w:color="auto"/>
                            <w:right w:val="none" w:sz="0" w:space="0" w:color="auto"/>
                          </w:divBdr>
                          <w:divsChild>
                            <w:div w:id="801731279">
                              <w:marLeft w:val="0"/>
                              <w:marRight w:val="0"/>
                              <w:marTop w:val="0"/>
                              <w:marBottom w:val="0"/>
                              <w:divBdr>
                                <w:top w:val="none" w:sz="0" w:space="0" w:color="auto"/>
                                <w:left w:val="none" w:sz="0" w:space="0" w:color="auto"/>
                                <w:bottom w:val="none" w:sz="0" w:space="0" w:color="auto"/>
                                <w:right w:val="none" w:sz="0" w:space="0" w:color="auto"/>
                              </w:divBdr>
                              <w:divsChild>
                                <w:div w:id="1596597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60916552">
                          <w:marLeft w:val="0"/>
                          <w:marRight w:val="0"/>
                          <w:marTop w:val="0"/>
                          <w:marBottom w:val="180"/>
                          <w:divBdr>
                            <w:top w:val="none" w:sz="0" w:space="0" w:color="auto"/>
                            <w:left w:val="none" w:sz="0" w:space="0" w:color="auto"/>
                            <w:bottom w:val="none" w:sz="0" w:space="0" w:color="auto"/>
                            <w:right w:val="none" w:sz="0" w:space="0" w:color="auto"/>
                          </w:divBdr>
                          <w:divsChild>
                            <w:div w:id="472677315">
                              <w:marLeft w:val="0"/>
                              <w:marRight w:val="0"/>
                              <w:marTop w:val="0"/>
                              <w:marBottom w:val="0"/>
                              <w:divBdr>
                                <w:top w:val="none" w:sz="0" w:space="0" w:color="auto"/>
                                <w:left w:val="none" w:sz="0" w:space="0" w:color="auto"/>
                                <w:bottom w:val="none" w:sz="0" w:space="0" w:color="auto"/>
                                <w:right w:val="none" w:sz="0" w:space="0" w:color="auto"/>
                              </w:divBdr>
                              <w:divsChild>
                                <w:div w:id="19822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24225902">
                          <w:marLeft w:val="0"/>
                          <w:marRight w:val="0"/>
                          <w:marTop w:val="0"/>
                          <w:marBottom w:val="180"/>
                          <w:divBdr>
                            <w:top w:val="none" w:sz="0" w:space="0" w:color="auto"/>
                            <w:left w:val="none" w:sz="0" w:space="0" w:color="auto"/>
                            <w:bottom w:val="none" w:sz="0" w:space="0" w:color="auto"/>
                            <w:right w:val="none" w:sz="0" w:space="0" w:color="auto"/>
                          </w:divBdr>
                          <w:divsChild>
                            <w:div w:id="1811634334">
                              <w:marLeft w:val="0"/>
                              <w:marRight w:val="0"/>
                              <w:marTop w:val="0"/>
                              <w:marBottom w:val="0"/>
                              <w:divBdr>
                                <w:top w:val="none" w:sz="0" w:space="0" w:color="auto"/>
                                <w:left w:val="none" w:sz="0" w:space="0" w:color="auto"/>
                                <w:bottom w:val="none" w:sz="0" w:space="0" w:color="auto"/>
                                <w:right w:val="none" w:sz="0" w:space="0" w:color="auto"/>
                              </w:divBdr>
                              <w:divsChild>
                                <w:div w:id="18527981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21531178">
                          <w:marLeft w:val="0"/>
                          <w:marRight w:val="0"/>
                          <w:marTop w:val="0"/>
                          <w:marBottom w:val="180"/>
                          <w:divBdr>
                            <w:top w:val="none" w:sz="0" w:space="0" w:color="auto"/>
                            <w:left w:val="none" w:sz="0" w:space="0" w:color="auto"/>
                            <w:bottom w:val="none" w:sz="0" w:space="0" w:color="auto"/>
                            <w:right w:val="none" w:sz="0" w:space="0" w:color="auto"/>
                          </w:divBdr>
                          <w:divsChild>
                            <w:div w:id="2099787909">
                              <w:marLeft w:val="0"/>
                              <w:marRight w:val="0"/>
                              <w:marTop w:val="0"/>
                              <w:marBottom w:val="0"/>
                              <w:divBdr>
                                <w:top w:val="none" w:sz="0" w:space="0" w:color="auto"/>
                                <w:left w:val="none" w:sz="0" w:space="0" w:color="auto"/>
                                <w:bottom w:val="none" w:sz="0" w:space="0" w:color="auto"/>
                                <w:right w:val="none" w:sz="0" w:space="0" w:color="auto"/>
                              </w:divBdr>
                              <w:divsChild>
                                <w:div w:id="160437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80500185">
                          <w:marLeft w:val="0"/>
                          <w:marRight w:val="0"/>
                          <w:marTop w:val="0"/>
                          <w:marBottom w:val="180"/>
                          <w:divBdr>
                            <w:top w:val="none" w:sz="0" w:space="0" w:color="auto"/>
                            <w:left w:val="none" w:sz="0" w:space="0" w:color="auto"/>
                            <w:bottom w:val="none" w:sz="0" w:space="0" w:color="auto"/>
                            <w:right w:val="none" w:sz="0" w:space="0" w:color="auto"/>
                          </w:divBdr>
                          <w:divsChild>
                            <w:div w:id="1809470940">
                              <w:marLeft w:val="0"/>
                              <w:marRight w:val="0"/>
                              <w:marTop w:val="0"/>
                              <w:marBottom w:val="0"/>
                              <w:divBdr>
                                <w:top w:val="none" w:sz="0" w:space="0" w:color="auto"/>
                                <w:left w:val="none" w:sz="0" w:space="0" w:color="auto"/>
                                <w:bottom w:val="none" w:sz="0" w:space="0" w:color="auto"/>
                                <w:right w:val="none" w:sz="0" w:space="0" w:color="auto"/>
                              </w:divBdr>
                              <w:divsChild>
                                <w:div w:id="430856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113240411">
                          <w:marLeft w:val="0"/>
                          <w:marRight w:val="0"/>
                          <w:marTop w:val="0"/>
                          <w:marBottom w:val="180"/>
                          <w:divBdr>
                            <w:top w:val="none" w:sz="0" w:space="0" w:color="auto"/>
                            <w:left w:val="none" w:sz="0" w:space="0" w:color="auto"/>
                            <w:bottom w:val="none" w:sz="0" w:space="0" w:color="auto"/>
                            <w:right w:val="none" w:sz="0" w:space="0" w:color="auto"/>
                          </w:divBdr>
                          <w:divsChild>
                            <w:div w:id="1873106840">
                              <w:marLeft w:val="0"/>
                              <w:marRight w:val="0"/>
                              <w:marTop w:val="0"/>
                              <w:marBottom w:val="0"/>
                              <w:divBdr>
                                <w:top w:val="none" w:sz="0" w:space="0" w:color="auto"/>
                                <w:left w:val="none" w:sz="0" w:space="0" w:color="auto"/>
                                <w:bottom w:val="none" w:sz="0" w:space="0" w:color="auto"/>
                                <w:right w:val="none" w:sz="0" w:space="0" w:color="auto"/>
                              </w:divBdr>
                              <w:divsChild>
                                <w:div w:id="9946457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131973847">
                          <w:marLeft w:val="0"/>
                          <w:marRight w:val="0"/>
                          <w:marTop w:val="0"/>
                          <w:marBottom w:val="180"/>
                          <w:divBdr>
                            <w:top w:val="none" w:sz="0" w:space="0" w:color="auto"/>
                            <w:left w:val="none" w:sz="0" w:space="0" w:color="auto"/>
                            <w:bottom w:val="none" w:sz="0" w:space="0" w:color="auto"/>
                            <w:right w:val="none" w:sz="0" w:space="0" w:color="auto"/>
                          </w:divBdr>
                          <w:divsChild>
                            <w:div w:id="474877783">
                              <w:marLeft w:val="0"/>
                              <w:marRight w:val="0"/>
                              <w:marTop w:val="0"/>
                              <w:marBottom w:val="0"/>
                              <w:divBdr>
                                <w:top w:val="none" w:sz="0" w:space="0" w:color="auto"/>
                                <w:left w:val="none" w:sz="0" w:space="0" w:color="auto"/>
                                <w:bottom w:val="none" w:sz="0" w:space="0" w:color="auto"/>
                                <w:right w:val="none" w:sz="0" w:space="0" w:color="auto"/>
                              </w:divBdr>
                              <w:divsChild>
                                <w:div w:id="12061430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87336">
      <w:bodyDiv w:val="1"/>
      <w:marLeft w:val="0"/>
      <w:marRight w:val="0"/>
      <w:marTop w:val="0"/>
      <w:marBottom w:val="0"/>
      <w:divBdr>
        <w:top w:val="none" w:sz="0" w:space="0" w:color="auto"/>
        <w:left w:val="none" w:sz="0" w:space="0" w:color="auto"/>
        <w:bottom w:val="none" w:sz="0" w:space="0" w:color="auto"/>
        <w:right w:val="none" w:sz="0" w:space="0" w:color="auto"/>
      </w:divBdr>
    </w:div>
    <w:div w:id="1841970567">
      <w:bodyDiv w:val="1"/>
      <w:marLeft w:val="0"/>
      <w:marRight w:val="0"/>
      <w:marTop w:val="0"/>
      <w:marBottom w:val="0"/>
      <w:divBdr>
        <w:top w:val="none" w:sz="0" w:space="0" w:color="auto"/>
        <w:left w:val="none" w:sz="0" w:space="0" w:color="auto"/>
        <w:bottom w:val="none" w:sz="0" w:space="0" w:color="auto"/>
        <w:right w:val="none" w:sz="0" w:space="0" w:color="auto"/>
      </w:divBdr>
    </w:div>
    <w:div w:id="1892157514">
      <w:bodyDiv w:val="1"/>
      <w:marLeft w:val="0"/>
      <w:marRight w:val="0"/>
      <w:marTop w:val="0"/>
      <w:marBottom w:val="0"/>
      <w:divBdr>
        <w:top w:val="none" w:sz="0" w:space="0" w:color="auto"/>
        <w:left w:val="none" w:sz="0" w:space="0" w:color="auto"/>
        <w:bottom w:val="none" w:sz="0" w:space="0" w:color="auto"/>
        <w:right w:val="none" w:sz="0" w:space="0" w:color="auto"/>
      </w:divBdr>
    </w:div>
    <w:div w:id="1986618725">
      <w:bodyDiv w:val="1"/>
      <w:marLeft w:val="0"/>
      <w:marRight w:val="0"/>
      <w:marTop w:val="0"/>
      <w:marBottom w:val="0"/>
      <w:divBdr>
        <w:top w:val="none" w:sz="0" w:space="0" w:color="auto"/>
        <w:left w:val="none" w:sz="0" w:space="0" w:color="auto"/>
        <w:bottom w:val="none" w:sz="0" w:space="0" w:color="auto"/>
        <w:right w:val="none" w:sz="0" w:space="0" w:color="auto"/>
      </w:divBdr>
    </w:div>
    <w:div w:id="19913261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saa.org/industry-resources/investment-advisers/investment-adviser-representative-continuing-education/member-adop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Parce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0608BD60A6484FABF7C720A63F6DC4" ma:contentTypeVersion="22" ma:contentTypeDescription="Create a new document." ma:contentTypeScope="" ma:versionID="875078b791935eacc2b91c85c2a89c81">
  <xsd:schema xmlns:xsd="http://www.w3.org/2001/XMLSchema" xmlns:xs="http://www.w3.org/2001/XMLSchema" xmlns:p="http://schemas.microsoft.com/office/2006/metadata/properties" xmlns:ns2="0f6ab263-196c-41b0-9add-399fe2c05d98" xmlns:ns3="219c2acb-1d07-4529-b738-b9825054264a" targetNamespace="http://schemas.microsoft.com/office/2006/metadata/properties" ma:root="true" ma:fieldsID="123f21754d1bcaf50227562b5d92092b" ns2:_="" ns3:_="">
    <xsd:import namespace="0f6ab263-196c-41b0-9add-399fe2c05d98"/>
    <xsd:import namespace="219c2acb-1d07-4529-b738-b9825054264a"/>
    <xsd:element name="properties">
      <xsd:complexType>
        <xsd:sequence>
          <xsd:element name="documentManagement">
            <xsd:complexType>
              <xsd:all>
                <xsd:element ref="ns2:TaxKeywordTaxHTField" minOccurs="0"/>
                <xsd:element ref="ns2:TaxCatchAll" minOccurs="0"/>
                <xsd:element ref="ns3:CreationDate" minOccurs="0"/>
                <xsd:element ref="ns3:AssignedTo" minOccurs="0"/>
                <xsd:element ref="ns3:Next_x0020_Revision_x0020_Date" minOccurs="0"/>
                <xsd:element ref="ns3:Test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ab263-196c-41b0-9add-399fe2c05d98"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41b8012a-a45a-452a-9733-e306bad60e53" ma:termSetId="00000000-0000-0000-0000-000000000000" ma:anchorId="00000000-0000-0000-0000-000000000000" ma:open="true" ma:isKeyword="true">
      <xsd:complexType>
        <xsd:sequence>
          <xsd:element ref="pc:Terms" minOccurs="0" maxOccurs="1"/>
        </xsd:sequence>
      </xsd:complexType>
    </xsd:element>
    <xsd:element name="TaxCatchAll" ma:index="6" nillable="true" ma:displayName="Taxonomy Catch All Column" ma:hidden="true" ma:list="{e7940820-1120-4f0b-91fa-9c787b70a086}" ma:internalName="TaxCatchAll" ma:showField="CatchAllData" ma:web="0f6ab263-196c-41b0-9add-399fe2c05d9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c2acb-1d07-4529-b738-b9825054264a" elementFormDefault="qualified">
    <xsd:import namespace="http://schemas.microsoft.com/office/2006/documentManagement/types"/>
    <xsd:import namespace="http://schemas.microsoft.com/office/infopath/2007/PartnerControls"/>
    <xsd:element name="CreationDate" ma:index="7" nillable="true" ma:displayName="Creation Date" ma:description="Date of Publish" ma:format="DateOnly" ma:internalName="CreationDate" ma:readOnly="false">
      <xsd:simpleType>
        <xsd:restriction base="dms:DateTime"/>
      </xsd:simpleType>
    </xsd:element>
    <xsd:element name="AssignedTo" ma:index="8" nillable="true" ma:displayName="Assigned To" ma:list="UserInfo" ma:SearchPeopleOnly="false" ma:SharePointGroup="0" ma:internalName="Assigned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xt_x0020_Revision_x0020_Date" ma:index="9" nillable="true" ma:displayName="Next Revision Date" ma:default="2022-06-30T00:00:00Z" ma:format="DateOnly" ma:internalName="Next_x0020_Revision_x0020_Date" ma:readOnly="false">
      <xsd:simpleType>
        <xsd:restriction base="dms:DateTime"/>
      </xsd:simpleType>
    </xsd:element>
    <xsd:element name="TestDate" ma:index="10" nillable="true" ma:displayName="Test Date" ma:format="DateOnly" ma:internalName="TestDate" ma:readOnly="false">
      <xsd:simpleType>
        <xsd:restriction base="dms:DateTime"/>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1b8012a-a45a-452a-9733-e306bad60e53"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219c2acb-1d07-4529-b738-b9825054264a" xsi:nil="true"/>
    <TaxKeywordTaxHTField xmlns="0f6ab263-196c-41b0-9add-399fe2c05d98">
      <Terms xmlns="http://schemas.microsoft.com/office/infopath/2007/PartnerControls"/>
    </TaxKeywordTaxHTField>
    <lcf76f155ced4ddcb4097134ff3c332f xmlns="219c2acb-1d07-4529-b738-b9825054264a">
      <Terms xmlns="http://schemas.microsoft.com/office/infopath/2007/PartnerControls"/>
    </lcf76f155ced4ddcb4097134ff3c332f>
    <TestDate xmlns="219c2acb-1d07-4529-b738-b9825054264a" xsi:nil="true"/>
    <AssignedTo xmlns="219c2acb-1d07-4529-b738-b9825054264a">
      <UserInfo>
        <DisplayName/>
        <AccountId xsi:nil="true"/>
        <AccountType/>
      </UserInfo>
    </AssignedTo>
    <TaxCatchAll xmlns="0f6ab263-196c-41b0-9add-399fe2c05d98" xsi:nil="true"/>
    <CreationDate xmlns="219c2acb-1d07-4529-b738-b9825054264a" xsi:nil="true"/>
    <Next_x0020_Revision_x0020_Date xmlns="219c2acb-1d07-4529-b738-b9825054264a">2022-06-30T00:00:00+00:00</Next_x0020_Revision_x0020_Date>
    <MediaLengthInSeconds xmlns="219c2acb-1d07-4529-b738-b9825054264a" xsi:nil="true"/>
    <SharedWithUsers xmlns="0f6ab263-196c-41b0-9add-399fe2c05d98">
      <UserInfo>
        <DisplayName/>
        <AccountId xsi:nil="true"/>
        <AccountType/>
      </UserInfo>
    </SharedWithUsers>
  </documentManagement>
</p:properties>
</file>

<file path=customXml/itemProps1.xml><?xml version="1.0" encoding="utf-8"?>
<ds:datastoreItem xmlns:ds="http://schemas.openxmlformats.org/officeDocument/2006/customXml" ds:itemID="{558CDBD3-9F38-45C0-B09F-17E9709BFC1B}">
  <ds:schemaRefs>
    <ds:schemaRef ds:uri="http://schemas.microsoft.com/sharepoint/v3/contenttype/forms"/>
  </ds:schemaRefs>
</ds:datastoreItem>
</file>

<file path=customXml/itemProps2.xml><?xml version="1.0" encoding="utf-8"?>
<ds:datastoreItem xmlns:ds="http://schemas.openxmlformats.org/officeDocument/2006/customXml" ds:itemID="{81CEE115-3433-4342-B139-1D6115FA0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ab263-196c-41b0-9add-399fe2c05d98"/>
    <ds:schemaRef ds:uri="219c2acb-1d07-4529-b738-b98250542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C3946-D154-4015-B299-1EAB097B0C87}">
  <ds:schemaRefs>
    <ds:schemaRef ds:uri="http://schemas.openxmlformats.org/officeDocument/2006/bibliography"/>
  </ds:schemaRefs>
</ds:datastoreItem>
</file>

<file path=customXml/itemProps4.xml><?xml version="1.0" encoding="utf-8"?>
<ds:datastoreItem xmlns:ds="http://schemas.openxmlformats.org/officeDocument/2006/customXml" ds:itemID="{E90A582B-1EFA-4310-8D3C-77AE0C28AC5E}">
  <ds:schemaRefs>
    <ds:schemaRef ds:uri="http://schemas.microsoft.com/office/2006/metadata/properties"/>
    <ds:schemaRef ds:uri="http://schemas.microsoft.com/office/infopath/2007/PartnerControls"/>
    <ds:schemaRef ds:uri="a2e8d4f9-5848-42d3-9b88-9cbaf72d299d"/>
    <ds:schemaRef ds:uri="219c2acb-1d07-4529-b738-b9825054264a"/>
    <ds:schemaRef ds:uri="0f6ab263-196c-41b0-9add-399fe2c05d9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2022-11-27T21:28:00Z</dcterms:created>
  <dcterms:modified xsi:type="dcterms:W3CDTF">2022-11-27T21:42:00Z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0x010100AF0608BD60A6484FABF7C720A63F6DC4</vt:lpwstr>
  </property>
  <property fmtid="{D5CDD505-2E9C-101B-9397-08002B2CF9AE}" pid="3" name="TaxKeyword">
    <vt:lpwstr/>
  </property>
  <property fmtid="{D5CDD505-2E9C-101B-9397-08002B2CF9AE}" pid="4" name="ComplianceAssetId">
    <vt:lpwstr/>
  </property>
  <property fmtid="{D5CDD505-2E9C-101B-9397-08002B2CF9AE}" pid="5" name="MigrationWizIdVersion">
    <vt:lpwstr>32646f5f-f4d1-411c-9ea4-a643ea9ffc2c-637738885130000000</vt:lpwstr>
  </property>
  <property fmtid="{D5CDD505-2E9C-101B-9397-08002B2CF9AE}" pid="6" name="_ExtendedDescription">
    <vt:lpwstr/>
  </property>
  <property fmtid="{D5CDD505-2E9C-101B-9397-08002B2CF9AE}" pid="7" name="TriggerFlowInfo">
    <vt:lpwstr/>
  </property>
  <property fmtid="{D5CDD505-2E9C-101B-9397-08002B2CF9AE}" pid="8" name="MigrationWizId">
    <vt:lpwstr>32646f5f-f4d1-411c-9ea4-a643ea9ffc2c</vt:lpwstr>
  </property>
  <property fmtid="{D5CDD505-2E9C-101B-9397-08002B2CF9AE}" pid="9" name="MediaServiceImageTags">
    <vt:lpwstr/>
  </property>
</Properties>
</file>